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1" w:name="_GoBack"/>
      <w:bookmarkEnd w:id="21"/>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一、中国共产党承德市鹰手营子矿区委区直机关工作委员会本级收支预算</w:t>
      </w:r>
      <w:r>
        <w:tab/>
      </w:r>
      <w:r>
        <w:fldChar w:fldCharType="begin"/>
      </w:r>
      <w:r>
        <w:instrText xml:space="preserve">PAGEREF _Toc_4_4_0000000021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71.55</w:t>
            </w:r>
          </w:p>
        </w:tc>
        <w:tc>
          <w:tcPr>
            <w:tcW w:w="4535" w:type="dxa"/>
            <w:vAlign w:val="center"/>
          </w:tcPr>
          <w:p>
            <w:pPr>
              <w:pStyle w:val="14"/>
            </w:pPr>
            <w:r>
              <w:t>一、一般公共服务支出</w:t>
            </w:r>
          </w:p>
        </w:tc>
        <w:tc>
          <w:tcPr>
            <w:tcW w:w="2126" w:type="dxa"/>
            <w:vAlign w:val="center"/>
          </w:tcPr>
          <w:p>
            <w:pPr>
              <w:pStyle w:val="13"/>
            </w:pPr>
            <w:r>
              <w:t>52.87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71.55</w:t>
            </w:r>
          </w:p>
        </w:tc>
        <w:tc>
          <w:tcPr>
            <w:tcW w:w="4535" w:type="dxa"/>
            <w:vAlign w:val="center"/>
          </w:tcPr>
          <w:p>
            <w:pPr>
              <w:pStyle w:val="16"/>
            </w:pPr>
            <w:r>
              <w:t>本年支出合计</w:t>
            </w:r>
          </w:p>
        </w:tc>
        <w:tc>
          <w:tcPr>
            <w:tcW w:w="2126" w:type="dxa"/>
            <w:vAlign w:val="center"/>
          </w:tcPr>
          <w:p>
            <w:pPr>
              <w:pStyle w:val="17"/>
            </w:pPr>
            <w:r>
              <w:t>71.55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71.55</w:t>
            </w:r>
          </w:p>
        </w:tc>
        <w:tc>
          <w:tcPr>
            <w:tcW w:w="4535" w:type="dxa"/>
            <w:vAlign w:val="center"/>
          </w:tcPr>
          <w:p>
            <w:pPr>
              <w:pStyle w:val="16"/>
            </w:pPr>
            <w:r>
              <w:t>支出总计</w:t>
            </w:r>
          </w:p>
        </w:tc>
        <w:tc>
          <w:tcPr>
            <w:tcW w:w="2126" w:type="dxa"/>
            <w:vAlign w:val="center"/>
          </w:tcPr>
          <w:p>
            <w:pPr>
              <w:pStyle w:val="17"/>
            </w:pPr>
            <w:r>
              <w:t>71.55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71.55</w:t>
            </w:r>
          </w:p>
        </w:tc>
        <w:tc>
          <w:tcPr>
            <w:tcW w:w="1134" w:type="dxa"/>
            <w:vAlign w:val="center"/>
          </w:tcPr>
          <w:p>
            <w:pPr>
              <w:pStyle w:val="17"/>
            </w:pPr>
            <w:r>
              <w:t>71.55</w:t>
            </w:r>
          </w:p>
        </w:tc>
        <w:tc>
          <w:tcPr>
            <w:tcW w:w="1134" w:type="dxa"/>
            <w:vAlign w:val="center"/>
          </w:tcPr>
          <w:p>
            <w:pPr>
              <w:pStyle w:val="17"/>
            </w:pPr>
            <w:r>
              <w:t>71.55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4.13</w:t>
            </w:r>
          </w:p>
        </w:tc>
        <w:tc>
          <w:tcPr>
            <w:tcW w:w="1134" w:type="dxa"/>
            <w:vAlign w:val="center"/>
          </w:tcPr>
          <w:p>
            <w:pPr>
              <w:pStyle w:val="13"/>
            </w:pPr>
            <w:r>
              <w:t>4.13</w:t>
            </w:r>
          </w:p>
        </w:tc>
        <w:tc>
          <w:tcPr>
            <w:tcW w:w="1134" w:type="dxa"/>
            <w:vAlign w:val="center"/>
          </w:tcPr>
          <w:p>
            <w:pPr>
              <w:pStyle w:val="13"/>
            </w:pPr>
            <w:r>
              <w:t>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71.55</w:t>
            </w:r>
          </w:p>
        </w:tc>
        <w:tc>
          <w:tcPr>
            <w:tcW w:w="1361" w:type="dxa"/>
            <w:vAlign w:val="center"/>
          </w:tcPr>
          <w:p>
            <w:pPr>
              <w:pStyle w:val="17"/>
            </w:pPr>
            <w:r>
              <w:t>71.55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52.87</w:t>
            </w:r>
          </w:p>
        </w:tc>
        <w:tc>
          <w:tcPr>
            <w:tcW w:w="1361" w:type="dxa"/>
            <w:vAlign w:val="center"/>
          </w:tcPr>
          <w:p>
            <w:pPr>
              <w:pStyle w:val="13"/>
            </w:pPr>
            <w:r>
              <w:t>52.87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52.87</w:t>
            </w:r>
          </w:p>
        </w:tc>
        <w:tc>
          <w:tcPr>
            <w:tcW w:w="1361" w:type="dxa"/>
            <w:vAlign w:val="center"/>
          </w:tcPr>
          <w:p>
            <w:pPr>
              <w:pStyle w:val="13"/>
            </w:pPr>
            <w:r>
              <w:t>52.87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52.87</w:t>
            </w:r>
          </w:p>
        </w:tc>
        <w:tc>
          <w:tcPr>
            <w:tcW w:w="1361" w:type="dxa"/>
            <w:vAlign w:val="center"/>
          </w:tcPr>
          <w:p>
            <w:pPr>
              <w:pStyle w:val="13"/>
            </w:pPr>
            <w:r>
              <w:t>52.87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10.34</w:t>
            </w:r>
          </w:p>
        </w:tc>
        <w:tc>
          <w:tcPr>
            <w:tcW w:w="1361" w:type="dxa"/>
            <w:vAlign w:val="center"/>
          </w:tcPr>
          <w:p>
            <w:pPr>
              <w:pStyle w:val="13"/>
            </w:pPr>
            <w:r>
              <w:t>10.34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10.34</w:t>
            </w:r>
          </w:p>
        </w:tc>
        <w:tc>
          <w:tcPr>
            <w:tcW w:w="1361" w:type="dxa"/>
            <w:vAlign w:val="center"/>
          </w:tcPr>
          <w:p>
            <w:pPr>
              <w:pStyle w:val="13"/>
            </w:pPr>
            <w:r>
              <w:t>10.34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4.13</w:t>
            </w:r>
          </w:p>
        </w:tc>
        <w:tc>
          <w:tcPr>
            <w:tcW w:w="1361" w:type="dxa"/>
            <w:vAlign w:val="center"/>
          </w:tcPr>
          <w:p>
            <w:pPr>
              <w:pStyle w:val="13"/>
            </w:pPr>
            <w:r>
              <w:t>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6.21</w:t>
            </w:r>
          </w:p>
        </w:tc>
        <w:tc>
          <w:tcPr>
            <w:tcW w:w="1361" w:type="dxa"/>
            <w:vAlign w:val="center"/>
          </w:tcPr>
          <w:p>
            <w:pPr>
              <w:pStyle w:val="13"/>
            </w:pPr>
            <w:r>
              <w:t>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4.93</w:t>
            </w:r>
          </w:p>
        </w:tc>
        <w:tc>
          <w:tcPr>
            <w:tcW w:w="1361" w:type="dxa"/>
            <w:vAlign w:val="center"/>
          </w:tcPr>
          <w:p>
            <w:pPr>
              <w:pStyle w:val="13"/>
            </w:pPr>
            <w:r>
              <w:t>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4.93</w:t>
            </w:r>
          </w:p>
        </w:tc>
        <w:tc>
          <w:tcPr>
            <w:tcW w:w="1361" w:type="dxa"/>
            <w:vAlign w:val="center"/>
          </w:tcPr>
          <w:p>
            <w:pPr>
              <w:pStyle w:val="13"/>
            </w:pPr>
            <w:r>
              <w:t>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4.93</w:t>
            </w:r>
          </w:p>
        </w:tc>
        <w:tc>
          <w:tcPr>
            <w:tcW w:w="1361" w:type="dxa"/>
            <w:vAlign w:val="center"/>
          </w:tcPr>
          <w:p>
            <w:pPr>
              <w:pStyle w:val="13"/>
            </w:pPr>
            <w:r>
              <w:t>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71.55</w:t>
            </w:r>
          </w:p>
        </w:tc>
        <w:tc>
          <w:tcPr>
            <w:tcW w:w="3402" w:type="dxa"/>
            <w:vAlign w:val="center"/>
          </w:tcPr>
          <w:p>
            <w:pPr>
              <w:pStyle w:val="14"/>
            </w:pPr>
            <w:r>
              <w:t>一、一般公共服务支出</w:t>
            </w:r>
          </w:p>
        </w:tc>
        <w:tc>
          <w:tcPr>
            <w:tcW w:w="1474" w:type="dxa"/>
            <w:vAlign w:val="center"/>
          </w:tcPr>
          <w:p>
            <w:pPr>
              <w:pStyle w:val="13"/>
            </w:pPr>
            <w:r>
              <w:t>52.87</w:t>
            </w:r>
          </w:p>
        </w:tc>
        <w:tc>
          <w:tcPr>
            <w:tcW w:w="1474" w:type="dxa"/>
            <w:vAlign w:val="center"/>
          </w:tcPr>
          <w:p>
            <w:pPr>
              <w:pStyle w:val="13"/>
            </w:pPr>
            <w:r>
              <w:t>52.87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10.34</w:t>
            </w:r>
          </w:p>
        </w:tc>
        <w:tc>
          <w:tcPr>
            <w:tcW w:w="1474" w:type="dxa"/>
            <w:vAlign w:val="center"/>
          </w:tcPr>
          <w:p>
            <w:pPr>
              <w:pStyle w:val="13"/>
            </w:pPr>
            <w:r>
              <w:t>10.34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3.41</w:t>
            </w:r>
          </w:p>
        </w:tc>
        <w:tc>
          <w:tcPr>
            <w:tcW w:w="1474" w:type="dxa"/>
            <w:vAlign w:val="center"/>
          </w:tcPr>
          <w:p>
            <w:pPr>
              <w:pStyle w:val="13"/>
            </w:pPr>
            <w:r>
              <w:t>3.41</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4.93</w:t>
            </w:r>
          </w:p>
        </w:tc>
        <w:tc>
          <w:tcPr>
            <w:tcW w:w="1474" w:type="dxa"/>
            <w:vAlign w:val="center"/>
          </w:tcPr>
          <w:p>
            <w:pPr>
              <w:pStyle w:val="13"/>
            </w:pPr>
            <w:r>
              <w:t>4.93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71.55</w:t>
            </w:r>
          </w:p>
        </w:tc>
        <w:tc>
          <w:tcPr>
            <w:tcW w:w="3402" w:type="dxa"/>
            <w:vAlign w:val="center"/>
          </w:tcPr>
          <w:p>
            <w:pPr>
              <w:pStyle w:val="16"/>
            </w:pPr>
            <w:r>
              <w:t>本年支出合计</w:t>
            </w:r>
          </w:p>
        </w:tc>
        <w:tc>
          <w:tcPr>
            <w:tcW w:w="1474" w:type="dxa"/>
            <w:vAlign w:val="center"/>
          </w:tcPr>
          <w:p>
            <w:pPr>
              <w:pStyle w:val="17"/>
            </w:pPr>
            <w:r>
              <w:t>71.55</w:t>
            </w:r>
          </w:p>
        </w:tc>
        <w:tc>
          <w:tcPr>
            <w:tcW w:w="1474" w:type="dxa"/>
            <w:vAlign w:val="center"/>
          </w:tcPr>
          <w:p>
            <w:pPr>
              <w:pStyle w:val="17"/>
            </w:pPr>
            <w:r>
              <w:t>71.55</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71.55</w:t>
            </w:r>
          </w:p>
        </w:tc>
        <w:tc>
          <w:tcPr>
            <w:tcW w:w="3402" w:type="dxa"/>
            <w:vAlign w:val="center"/>
          </w:tcPr>
          <w:p>
            <w:pPr>
              <w:pStyle w:val="16"/>
            </w:pPr>
            <w:r>
              <w:t>支出总计</w:t>
            </w:r>
          </w:p>
        </w:tc>
        <w:tc>
          <w:tcPr>
            <w:tcW w:w="1474" w:type="dxa"/>
            <w:vAlign w:val="center"/>
          </w:tcPr>
          <w:p>
            <w:pPr>
              <w:pStyle w:val="17"/>
            </w:pPr>
            <w:r>
              <w:t>71.55</w:t>
            </w:r>
          </w:p>
        </w:tc>
        <w:tc>
          <w:tcPr>
            <w:tcW w:w="1474" w:type="dxa"/>
            <w:vAlign w:val="center"/>
          </w:tcPr>
          <w:p>
            <w:pPr>
              <w:pStyle w:val="17"/>
            </w:pPr>
            <w:r>
              <w:t>71.55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71.55</w:t>
            </w:r>
          </w:p>
        </w:tc>
        <w:tc>
          <w:tcPr>
            <w:tcW w:w="2551" w:type="dxa"/>
            <w:vAlign w:val="center"/>
          </w:tcPr>
          <w:p>
            <w:pPr>
              <w:pStyle w:val="17"/>
            </w:pPr>
            <w:r>
              <w:t>71.55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52.87</w:t>
            </w:r>
          </w:p>
        </w:tc>
        <w:tc>
          <w:tcPr>
            <w:tcW w:w="2551" w:type="dxa"/>
            <w:vAlign w:val="center"/>
          </w:tcPr>
          <w:p>
            <w:pPr>
              <w:pStyle w:val="13"/>
            </w:pPr>
            <w:r>
              <w:t>52.87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52.87</w:t>
            </w:r>
          </w:p>
        </w:tc>
        <w:tc>
          <w:tcPr>
            <w:tcW w:w="2551" w:type="dxa"/>
            <w:vAlign w:val="center"/>
          </w:tcPr>
          <w:p>
            <w:pPr>
              <w:pStyle w:val="13"/>
            </w:pPr>
            <w:r>
              <w:t>52.87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52.87</w:t>
            </w:r>
          </w:p>
        </w:tc>
        <w:tc>
          <w:tcPr>
            <w:tcW w:w="2551" w:type="dxa"/>
            <w:vAlign w:val="center"/>
          </w:tcPr>
          <w:p>
            <w:pPr>
              <w:pStyle w:val="13"/>
            </w:pPr>
            <w:r>
              <w:t>52.87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4.13</w:t>
            </w:r>
          </w:p>
        </w:tc>
        <w:tc>
          <w:tcPr>
            <w:tcW w:w="2551" w:type="dxa"/>
            <w:vAlign w:val="center"/>
          </w:tcPr>
          <w:p>
            <w:pPr>
              <w:pStyle w:val="13"/>
            </w:pPr>
            <w:r>
              <w:t>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71.55</w:t>
            </w:r>
          </w:p>
        </w:tc>
        <w:tc>
          <w:tcPr>
            <w:tcW w:w="2551" w:type="dxa"/>
            <w:vAlign w:val="center"/>
          </w:tcPr>
          <w:p>
            <w:pPr>
              <w:pStyle w:val="17"/>
            </w:pPr>
            <w:r>
              <w:t>63.31</w:t>
            </w:r>
          </w:p>
        </w:tc>
        <w:tc>
          <w:tcPr>
            <w:tcW w:w="2551" w:type="dxa"/>
            <w:vAlign w:val="center"/>
          </w:tcPr>
          <w:p>
            <w:pPr>
              <w:pStyle w:val="17"/>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59.03</w:t>
            </w:r>
          </w:p>
        </w:tc>
        <w:tc>
          <w:tcPr>
            <w:tcW w:w="2551" w:type="dxa"/>
            <w:vAlign w:val="center"/>
          </w:tcPr>
          <w:p>
            <w:pPr>
              <w:pStyle w:val="13"/>
            </w:pPr>
            <w:r>
              <w:t>59.03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19.60</w:t>
            </w:r>
          </w:p>
        </w:tc>
        <w:tc>
          <w:tcPr>
            <w:tcW w:w="2551" w:type="dxa"/>
            <w:vAlign w:val="center"/>
          </w:tcPr>
          <w:p>
            <w:pPr>
              <w:pStyle w:val="13"/>
            </w:pPr>
            <w:r>
              <w:t>19.60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15.15</w:t>
            </w:r>
          </w:p>
        </w:tc>
        <w:tc>
          <w:tcPr>
            <w:tcW w:w="2551" w:type="dxa"/>
            <w:vAlign w:val="center"/>
          </w:tcPr>
          <w:p>
            <w:pPr>
              <w:pStyle w:val="13"/>
            </w:pPr>
            <w:r>
              <w:t>15.15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3.94</w:t>
            </w:r>
          </w:p>
        </w:tc>
        <w:tc>
          <w:tcPr>
            <w:tcW w:w="2551" w:type="dxa"/>
            <w:vAlign w:val="center"/>
          </w:tcPr>
          <w:p>
            <w:pPr>
              <w:pStyle w:val="13"/>
            </w:pPr>
            <w:r>
              <w:t>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4.98</w:t>
            </w:r>
          </w:p>
        </w:tc>
        <w:tc>
          <w:tcPr>
            <w:tcW w:w="2551" w:type="dxa"/>
            <w:vAlign w:val="center"/>
          </w:tcPr>
          <w:p>
            <w:pPr>
              <w:pStyle w:val="13"/>
            </w:pPr>
            <w:r>
              <w:t>4.98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0.23</w:t>
            </w:r>
          </w:p>
        </w:tc>
        <w:tc>
          <w:tcPr>
            <w:tcW w:w="2551" w:type="dxa"/>
            <w:vAlign w:val="center"/>
          </w:tcPr>
          <w:p>
            <w:pPr>
              <w:pStyle w:val="13"/>
            </w:pPr>
            <w:r>
              <w:t>0.23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0.80</w:t>
            </w:r>
          </w:p>
        </w:tc>
        <w:tc>
          <w:tcPr>
            <w:tcW w:w="2551" w:type="dxa"/>
            <w:vAlign w:val="center"/>
          </w:tcPr>
          <w:p>
            <w:pPr>
              <w:pStyle w:val="13"/>
            </w:pPr>
            <w:r>
              <w:t>0.80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8.24</w:t>
            </w:r>
          </w:p>
        </w:tc>
        <w:tc>
          <w:tcPr>
            <w:tcW w:w="2551" w:type="dxa"/>
            <w:vAlign w:val="center"/>
          </w:tcPr>
          <w:p>
            <w:pPr>
              <w:pStyle w:val="13"/>
            </w:pPr>
          </w:p>
        </w:tc>
        <w:tc>
          <w:tcPr>
            <w:tcW w:w="2551" w:type="dxa"/>
            <w:vAlign w:val="center"/>
          </w:tcPr>
          <w:p>
            <w:pPr>
              <w:pStyle w:val="13"/>
            </w:pPr>
            <w:r>
              <w:t>8.24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2.12</w:t>
            </w:r>
          </w:p>
        </w:tc>
        <w:tc>
          <w:tcPr>
            <w:tcW w:w="2551" w:type="dxa"/>
            <w:vAlign w:val="center"/>
          </w:tcPr>
          <w:p>
            <w:pPr>
              <w:pStyle w:val="13"/>
            </w:pPr>
          </w:p>
        </w:tc>
        <w:tc>
          <w:tcPr>
            <w:tcW w:w="2551"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0.41</w:t>
            </w:r>
          </w:p>
        </w:tc>
        <w:tc>
          <w:tcPr>
            <w:tcW w:w="2551" w:type="dxa"/>
            <w:vAlign w:val="center"/>
          </w:tcPr>
          <w:p>
            <w:pPr>
              <w:pStyle w:val="13"/>
            </w:pPr>
          </w:p>
        </w:tc>
        <w:tc>
          <w:tcPr>
            <w:tcW w:w="2551" w:type="dxa"/>
            <w:vAlign w:val="center"/>
          </w:tcPr>
          <w:p>
            <w:pPr>
              <w:pStyle w:val="13"/>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4.29</w:t>
            </w:r>
          </w:p>
        </w:tc>
        <w:tc>
          <w:tcPr>
            <w:tcW w:w="2551" w:type="dxa"/>
            <w:vAlign w:val="center"/>
          </w:tcPr>
          <w:p>
            <w:pPr>
              <w:pStyle w:val="13"/>
            </w:pPr>
            <w:r>
              <w:t>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4.13</w:t>
            </w:r>
          </w:p>
        </w:tc>
        <w:tc>
          <w:tcPr>
            <w:tcW w:w="2551" w:type="dxa"/>
            <w:vAlign w:val="center"/>
          </w:tcPr>
          <w:p>
            <w:pPr>
              <w:pStyle w:val="13"/>
            </w:pPr>
            <w:r>
              <w:t>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中国共产党承德市鹰手营子矿区委区直机关工作委员会2024年部门预算信息公开情况说明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中国共产党承德市鹰手营子矿区委区直机关工作委员会2024年部门预算信息公开情况说明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按照《中华人民共和国预算法》、《地方预决算公开操作规程》和《关于进一步推进预算公开工作的实施意见》规定，现将中国共产党承德市鹰手营子矿区委区直机关工作委员会2024年部门预算公开如下：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中国共产党承德市鹰手营子矿区委区直机关工作委员会本级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2021年，坚持以习近平新时代中国特色社会主义思想为指导，认真贯彻落实党的十九大和十九届二中、三中、四中、五中全会精神，牢牢把握新时代党的建设总要求，以党的政治建设为统领，以践行“三个表率”建设“模范机关”为主线，以基层党组织建设质量提升为抓手，紧扣“围绕中心、建设队伍、服务群众”核心任务，健全完善机关党建制度机制，促进党建工作和业务工作发展融合，全面提高区直机关党的建设质量和水平，为新时代鹰城发展提供坚强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(一)加强政治建设。</w:t>
      </w:r>
    </w:p>
    <w:p>
      <w:pPr>
        <w:pStyle w:val="24"/>
      </w:pPr>
      <w:r>
        <w:t>绩效目标:党员干部坚决做到“两个维护”，自觉在思想上政治上行动上，同以习近平同志为核心的党中央保持高度一致，严格党的政治纪律和政治规矩，严肃党内政治生活，落实机关党建责任制</w:t>
      </w:r>
    </w:p>
    <w:p>
      <w:pPr>
        <w:pStyle w:val="24"/>
      </w:pPr>
      <w:r>
        <w:t>(二)加强思想建设。</w:t>
      </w:r>
    </w:p>
    <w:p>
      <w:pPr>
        <w:pStyle w:val="24"/>
      </w:pPr>
      <w:r>
        <w:t>绩效目标：理论武装不断深化，党员部理想信念坚定，政治理论水平不断提高，精神文明创建有力推进，志愿服务活动广泛开展，意识形态责任制落实严格。</w:t>
      </w:r>
    </w:p>
    <w:p>
      <w:pPr>
        <w:pStyle w:val="24"/>
      </w:pPr>
      <w:r>
        <w:t>(三)加强组织建设。</w:t>
      </w:r>
    </w:p>
    <w:p>
      <w:pPr>
        <w:pStyle w:val="24"/>
      </w:pPr>
      <w:r>
        <w:t>绩效目标:更加注重基层基础，开展分类指导，大力推进党支部标准化、规范化建设，基层党组织组织力明显提升，实现全面进步全面过硬。</w:t>
      </w:r>
    </w:p>
    <w:p>
      <w:pPr>
        <w:pStyle w:val="24"/>
      </w:pPr>
      <w:r>
        <w:t>(四)加强纪律作风建设。</w:t>
      </w:r>
    </w:p>
    <w:p>
      <w:pPr>
        <w:pStyle w:val="24"/>
      </w:pPr>
      <w:r>
        <w:t>绩效目标:持续纠正“四风”，推动区直机关不断转变作风提高效能。深化运用监督执纪“四种形态”，党的纪律进一步严明，纪检干部业务能力不断提高，廉政教育效果明显。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积极部署推进。成立预算绩效管理领导小组，切实担起组织实施和推进督导责任，确保预算绩效管理专人管、专人抓，各项工作任务有序顺利开展，为预算绩效目标的顺利实现提供制度保障;定期召开领导小组专题会议，及时研究推进重点工作，不断完善工作措施，协调解决难点问题，检查督导预算进度，做好目标绩效评估等。</w:t>
      </w:r>
    </w:p>
    <w:p>
      <w:pPr>
        <w:pStyle w:val="25"/>
      </w:pPr>
      <w:r>
        <w:t>（二）明确责任分工，抓工作落实。认真研究事前评估、目标管理、运行监控、绩效评价、结果运用等预算绩效管理全过程各环节改革措施，围绕年度总体绩效目标和分类绩效目标，进步细化工作方案，制定详细的路线图、时间表和责任人;明确办公室牵头负责日常绩效管理的组织实施、沟通协调、绩效分析和检查监督等日常工作，及时开展工作、组织活动，确保资金使用达到预期目的。</w:t>
      </w:r>
    </w:p>
    <w:p>
      <w:pPr>
        <w:pStyle w:val="25"/>
      </w:pPr>
      <w:r>
        <w:t>（三）强化日常管理、确保目标完成。切实加强支出管理，将预算执行与预算编制挂钩，有效强化财政预算执行的刚性约束;精准年度预算，细化经费安排。明确1名内部审计人员，重点对公务支出预算管理、“三公”经费、会议和培训管理、专项资金使用管理、物资采购等方面定期进行审计监督，提高资金管理使用水平，确保预算绩效管理取得实际效果。</w:t>
      </w:r>
    </w:p>
    <w:p>
      <w:pPr>
        <w:pStyle w:val="25"/>
        <w:sectPr>
          <w:pgSz w:w="16840" w:h="11900" w:orient="landscape"/>
          <w:pgMar w:top="1361" w:right="1020" w:bottom="1361" w:left="1020" w:header="720" w:footer="720" w:gutter="0"/>
          <w:cols w:space="720" w:num="1"/>
        </w:sectPr>
      </w:pPr>
      <w:r>
        <w:t>（四）注重培训宣传、促进工作提升。积极广泛宣传预算绩效管理理念，培育绩效管理文化，增强预算绩效意识，为预算绩效管理创造浓厚氛围;积极参加区财政局等单位组织的学习培训，增强工作人员的业务素质和工作能力，不断提高预算绩效管理的工作水平。</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中国共产党承德市鹰手营子矿区委区直机关工作委员会（含所属单位）上年末固定资产金额为0.00万元（详见下表）。本年度拟购置固定资产总额为0.00万元，已按要求列入政府采购预算，详见政府采购预算表。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286中国共产党承德市鹰手营子矿区委区直机关工作委员会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一、中国共产党承德市鹰手营子矿区委区直机关工作委员会本级收支预算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71.55</w:t>
            </w:r>
          </w:p>
        </w:tc>
        <w:tc>
          <w:tcPr>
            <w:tcW w:w="4535" w:type="dxa"/>
            <w:vAlign w:val="center"/>
          </w:tcPr>
          <w:p>
            <w:pPr>
              <w:pStyle w:val="14"/>
            </w:pPr>
            <w:r>
              <w:t>一、一般公共服务支出</w:t>
            </w:r>
          </w:p>
        </w:tc>
        <w:tc>
          <w:tcPr>
            <w:tcW w:w="2126" w:type="dxa"/>
            <w:vAlign w:val="center"/>
          </w:tcPr>
          <w:p>
            <w:pPr>
              <w:pStyle w:val="13"/>
            </w:pPr>
            <w:r>
              <w:t>52.87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4.93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71.55</w:t>
            </w:r>
          </w:p>
        </w:tc>
        <w:tc>
          <w:tcPr>
            <w:tcW w:w="4535" w:type="dxa"/>
            <w:vAlign w:val="center"/>
          </w:tcPr>
          <w:p>
            <w:pPr>
              <w:pStyle w:val="16"/>
            </w:pPr>
            <w:r>
              <w:t>本年支出合计</w:t>
            </w:r>
          </w:p>
        </w:tc>
        <w:tc>
          <w:tcPr>
            <w:tcW w:w="2126" w:type="dxa"/>
            <w:vAlign w:val="center"/>
          </w:tcPr>
          <w:p>
            <w:pPr>
              <w:pStyle w:val="17"/>
            </w:pPr>
            <w:r>
              <w:t>71.55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71.55</w:t>
            </w:r>
          </w:p>
        </w:tc>
        <w:tc>
          <w:tcPr>
            <w:tcW w:w="4535" w:type="dxa"/>
            <w:vAlign w:val="center"/>
          </w:tcPr>
          <w:p>
            <w:pPr>
              <w:pStyle w:val="16"/>
            </w:pPr>
            <w:r>
              <w:t>支出总计</w:t>
            </w:r>
          </w:p>
        </w:tc>
        <w:tc>
          <w:tcPr>
            <w:tcW w:w="2126" w:type="dxa"/>
            <w:vAlign w:val="center"/>
          </w:tcPr>
          <w:p>
            <w:pPr>
              <w:pStyle w:val="17"/>
            </w:pPr>
            <w:r>
              <w:t>71.55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71.55</w:t>
            </w:r>
          </w:p>
        </w:tc>
        <w:tc>
          <w:tcPr>
            <w:tcW w:w="1134" w:type="dxa"/>
            <w:vAlign w:val="center"/>
          </w:tcPr>
          <w:p>
            <w:pPr>
              <w:pStyle w:val="17"/>
            </w:pPr>
            <w:r>
              <w:t>71.55</w:t>
            </w:r>
          </w:p>
        </w:tc>
        <w:tc>
          <w:tcPr>
            <w:tcW w:w="1134" w:type="dxa"/>
            <w:vAlign w:val="center"/>
          </w:tcPr>
          <w:p>
            <w:pPr>
              <w:pStyle w:val="17"/>
            </w:pPr>
            <w:r>
              <w:t>71.55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r>
              <w:t>52.87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r>
              <w:t>10.34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4.13</w:t>
            </w:r>
          </w:p>
        </w:tc>
        <w:tc>
          <w:tcPr>
            <w:tcW w:w="1134" w:type="dxa"/>
            <w:vAlign w:val="center"/>
          </w:tcPr>
          <w:p>
            <w:pPr>
              <w:pStyle w:val="13"/>
            </w:pPr>
            <w:r>
              <w:t>4.13</w:t>
            </w:r>
          </w:p>
        </w:tc>
        <w:tc>
          <w:tcPr>
            <w:tcW w:w="1134" w:type="dxa"/>
            <w:vAlign w:val="center"/>
          </w:tcPr>
          <w:p>
            <w:pPr>
              <w:pStyle w:val="13"/>
            </w:pPr>
            <w:r>
              <w:t>4.13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r>
              <w:t>6.21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r>
              <w:t>3.41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r>
              <w:t>4.93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71.55</w:t>
            </w:r>
          </w:p>
        </w:tc>
        <w:tc>
          <w:tcPr>
            <w:tcW w:w="1361" w:type="dxa"/>
            <w:vAlign w:val="center"/>
          </w:tcPr>
          <w:p>
            <w:pPr>
              <w:pStyle w:val="17"/>
            </w:pPr>
            <w:r>
              <w:t>71.55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52.87</w:t>
            </w:r>
          </w:p>
        </w:tc>
        <w:tc>
          <w:tcPr>
            <w:tcW w:w="1361" w:type="dxa"/>
            <w:vAlign w:val="center"/>
          </w:tcPr>
          <w:p>
            <w:pPr>
              <w:pStyle w:val="13"/>
            </w:pPr>
            <w:r>
              <w:t>52.87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52.87</w:t>
            </w:r>
          </w:p>
        </w:tc>
        <w:tc>
          <w:tcPr>
            <w:tcW w:w="1361" w:type="dxa"/>
            <w:vAlign w:val="center"/>
          </w:tcPr>
          <w:p>
            <w:pPr>
              <w:pStyle w:val="13"/>
            </w:pPr>
            <w:r>
              <w:t>52.87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52.87</w:t>
            </w:r>
          </w:p>
        </w:tc>
        <w:tc>
          <w:tcPr>
            <w:tcW w:w="1361" w:type="dxa"/>
            <w:vAlign w:val="center"/>
          </w:tcPr>
          <w:p>
            <w:pPr>
              <w:pStyle w:val="13"/>
            </w:pPr>
            <w:r>
              <w:t>52.87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10.34</w:t>
            </w:r>
          </w:p>
        </w:tc>
        <w:tc>
          <w:tcPr>
            <w:tcW w:w="1361" w:type="dxa"/>
            <w:vAlign w:val="center"/>
          </w:tcPr>
          <w:p>
            <w:pPr>
              <w:pStyle w:val="13"/>
            </w:pPr>
            <w:r>
              <w:t>10.34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10.34</w:t>
            </w:r>
          </w:p>
        </w:tc>
        <w:tc>
          <w:tcPr>
            <w:tcW w:w="1361" w:type="dxa"/>
            <w:vAlign w:val="center"/>
          </w:tcPr>
          <w:p>
            <w:pPr>
              <w:pStyle w:val="13"/>
            </w:pPr>
            <w:r>
              <w:t>10.34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4.13</w:t>
            </w:r>
          </w:p>
        </w:tc>
        <w:tc>
          <w:tcPr>
            <w:tcW w:w="1361" w:type="dxa"/>
            <w:vAlign w:val="center"/>
          </w:tcPr>
          <w:p>
            <w:pPr>
              <w:pStyle w:val="13"/>
            </w:pPr>
            <w:r>
              <w:t>4.13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6.21</w:t>
            </w:r>
          </w:p>
        </w:tc>
        <w:tc>
          <w:tcPr>
            <w:tcW w:w="1361" w:type="dxa"/>
            <w:vAlign w:val="center"/>
          </w:tcPr>
          <w:p>
            <w:pPr>
              <w:pStyle w:val="13"/>
            </w:pPr>
            <w:r>
              <w:t>6.21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3.41</w:t>
            </w:r>
          </w:p>
        </w:tc>
        <w:tc>
          <w:tcPr>
            <w:tcW w:w="1361" w:type="dxa"/>
            <w:vAlign w:val="center"/>
          </w:tcPr>
          <w:p>
            <w:pPr>
              <w:pStyle w:val="13"/>
            </w:pPr>
            <w:r>
              <w:t>3.41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4.93</w:t>
            </w:r>
          </w:p>
        </w:tc>
        <w:tc>
          <w:tcPr>
            <w:tcW w:w="1361" w:type="dxa"/>
            <w:vAlign w:val="center"/>
          </w:tcPr>
          <w:p>
            <w:pPr>
              <w:pStyle w:val="13"/>
            </w:pPr>
            <w:r>
              <w:t>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4.93</w:t>
            </w:r>
          </w:p>
        </w:tc>
        <w:tc>
          <w:tcPr>
            <w:tcW w:w="1361" w:type="dxa"/>
            <w:vAlign w:val="center"/>
          </w:tcPr>
          <w:p>
            <w:pPr>
              <w:pStyle w:val="13"/>
            </w:pPr>
            <w:r>
              <w:t>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4.93</w:t>
            </w:r>
          </w:p>
        </w:tc>
        <w:tc>
          <w:tcPr>
            <w:tcW w:w="1361" w:type="dxa"/>
            <w:vAlign w:val="center"/>
          </w:tcPr>
          <w:p>
            <w:pPr>
              <w:pStyle w:val="13"/>
            </w:pPr>
            <w:r>
              <w:t>4.93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71.55</w:t>
            </w:r>
          </w:p>
        </w:tc>
        <w:tc>
          <w:tcPr>
            <w:tcW w:w="3402" w:type="dxa"/>
            <w:vAlign w:val="center"/>
          </w:tcPr>
          <w:p>
            <w:pPr>
              <w:pStyle w:val="14"/>
            </w:pPr>
            <w:r>
              <w:t>一、一般公共服务支出</w:t>
            </w:r>
          </w:p>
        </w:tc>
        <w:tc>
          <w:tcPr>
            <w:tcW w:w="1474" w:type="dxa"/>
            <w:vAlign w:val="center"/>
          </w:tcPr>
          <w:p>
            <w:pPr>
              <w:pStyle w:val="13"/>
            </w:pPr>
            <w:r>
              <w:t>52.87</w:t>
            </w:r>
          </w:p>
        </w:tc>
        <w:tc>
          <w:tcPr>
            <w:tcW w:w="1474" w:type="dxa"/>
            <w:vAlign w:val="center"/>
          </w:tcPr>
          <w:p>
            <w:pPr>
              <w:pStyle w:val="13"/>
            </w:pPr>
            <w:r>
              <w:t>52.87</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10.34</w:t>
            </w:r>
          </w:p>
        </w:tc>
        <w:tc>
          <w:tcPr>
            <w:tcW w:w="1474" w:type="dxa"/>
            <w:vAlign w:val="center"/>
          </w:tcPr>
          <w:p>
            <w:pPr>
              <w:pStyle w:val="13"/>
            </w:pPr>
            <w:r>
              <w:t>10.34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3.41</w:t>
            </w:r>
          </w:p>
        </w:tc>
        <w:tc>
          <w:tcPr>
            <w:tcW w:w="1474" w:type="dxa"/>
            <w:vAlign w:val="center"/>
          </w:tcPr>
          <w:p>
            <w:pPr>
              <w:pStyle w:val="13"/>
            </w:pPr>
            <w:r>
              <w:t>3.41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4.93</w:t>
            </w:r>
          </w:p>
        </w:tc>
        <w:tc>
          <w:tcPr>
            <w:tcW w:w="1474" w:type="dxa"/>
            <w:vAlign w:val="center"/>
          </w:tcPr>
          <w:p>
            <w:pPr>
              <w:pStyle w:val="13"/>
            </w:pPr>
            <w:r>
              <w:t>4.93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71.55</w:t>
            </w:r>
          </w:p>
        </w:tc>
        <w:tc>
          <w:tcPr>
            <w:tcW w:w="3402" w:type="dxa"/>
            <w:vAlign w:val="center"/>
          </w:tcPr>
          <w:p>
            <w:pPr>
              <w:pStyle w:val="16"/>
            </w:pPr>
            <w:r>
              <w:t>本年支出合计</w:t>
            </w:r>
          </w:p>
        </w:tc>
        <w:tc>
          <w:tcPr>
            <w:tcW w:w="1474" w:type="dxa"/>
            <w:vAlign w:val="center"/>
          </w:tcPr>
          <w:p>
            <w:pPr>
              <w:pStyle w:val="17"/>
            </w:pPr>
            <w:r>
              <w:t>71.55</w:t>
            </w:r>
          </w:p>
        </w:tc>
        <w:tc>
          <w:tcPr>
            <w:tcW w:w="1474" w:type="dxa"/>
            <w:vAlign w:val="center"/>
          </w:tcPr>
          <w:p>
            <w:pPr>
              <w:pStyle w:val="17"/>
            </w:pPr>
            <w:r>
              <w:t>71.55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71.55</w:t>
            </w:r>
          </w:p>
        </w:tc>
        <w:tc>
          <w:tcPr>
            <w:tcW w:w="3402" w:type="dxa"/>
            <w:vAlign w:val="center"/>
          </w:tcPr>
          <w:p>
            <w:pPr>
              <w:pStyle w:val="16"/>
            </w:pPr>
            <w:r>
              <w:t>支出总计</w:t>
            </w:r>
          </w:p>
        </w:tc>
        <w:tc>
          <w:tcPr>
            <w:tcW w:w="1474" w:type="dxa"/>
            <w:vAlign w:val="center"/>
          </w:tcPr>
          <w:p>
            <w:pPr>
              <w:pStyle w:val="17"/>
            </w:pPr>
            <w:r>
              <w:t>71.55</w:t>
            </w:r>
          </w:p>
        </w:tc>
        <w:tc>
          <w:tcPr>
            <w:tcW w:w="1474" w:type="dxa"/>
            <w:vAlign w:val="center"/>
          </w:tcPr>
          <w:p>
            <w:pPr>
              <w:pStyle w:val="17"/>
            </w:pPr>
            <w:r>
              <w:t>71.55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71.55</w:t>
            </w:r>
          </w:p>
        </w:tc>
        <w:tc>
          <w:tcPr>
            <w:tcW w:w="2551" w:type="dxa"/>
            <w:vAlign w:val="center"/>
          </w:tcPr>
          <w:p>
            <w:pPr>
              <w:pStyle w:val="17"/>
            </w:pPr>
            <w:r>
              <w:t>71.55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52.87</w:t>
            </w:r>
          </w:p>
        </w:tc>
        <w:tc>
          <w:tcPr>
            <w:tcW w:w="2551" w:type="dxa"/>
            <w:vAlign w:val="center"/>
          </w:tcPr>
          <w:p>
            <w:pPr>
              <w:pStyle w:val="13"/>
            </w:pPr>
            <w:r>
              <w:t>52.87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52.87</w:t>
            </w:r>
          </w:p>
        </w:tc>
        <w:tc>
          <w:tcPr>
            <w:tcW w:w="2551" w:type="dxa"/>
            <w:vAlign w:val="center"/>
          </w:tcPr>
          <w:p>
            <w:pPr>
              <w:pStyle w:val="13"/>
            </w:pPr>
            <w:r>
              <w:t>52.87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52.87</w:t>
            </w:r>
          </w:p>
        </w:tc>
        <w:tc>
          <w:tcPr>
            <w:tcW w:w="2551" w:type="dxa"/>
            <w:vAlign w:val="center"/>
          </w:tcPr>
          <w:p>
            <w:pPr>
              <w:pStyle w:val="13"/>
            </w:pPr>
            <w:r>
              <w:t>52.87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10.34</w:t>
            </w:r>
          </w:p>
        </w:tc>
        <w:tc>
          <w:tcPr>
            <w:tcW w:w="2551" w:type="dxa"/>
            <w:vAlign w:val="center"/>
          </w:tcPr>
          <w:p>
            <w:pPr>
              <w:pStyle w:val="13"/>
            </w:pPr>
            <w:r>
              <w:t>10.34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4.13</w:t>
            </w:r>
          </w:p>
        </w:tc>
        <w:tc>
          <w:tcPr>
            <w:tcW w:w="2551" w:type="dxa"/>
            <w:vAlign w:val="center"/>
          </w:tcPr>
          <w:p>
            <w:pPr>
              <w:pStyle w:val="13"/>
            </w:pPr>
            <w:r>
              <w:t>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3.41</w:t>
            </w:r>
          </w:p>
        </w:tc>
        <w:tc>
          <w:tcPr>
            <w:tcW w:w="2551" w:type="dxa"/>
            <w:vAlign w:val="center"/>
          </w:tcPr>
          <w:p>
            <w:pPr>
              <w:pStyle w:val="13"/>
            </w:pPr>
            <w:r>
              <w:t>3.41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71.55</w:t>
            </w:r>
          </w:p>
        </w:tc>
        <w:tc>
          <w:tcPr>
            <w:tcW w:w="2551" w:type="dxa"/>
            <w:vAlign w:val="center"/>
          </w:tcPr>
          <w:p>
            <w:pPr>
              <w:pStyle w:val="17"/>
            </w:pPr>
            <w:r>
              <w:t>63.31</w:t>
            </w:r>
          </w:p>
        </w:tc>
        <w:tc>
          <w:tcPr>
            <w:tcW w:w="2551" w:type="dxa"/>
            <w:vAlign w:val="center"/>
          </w:tcPr>
          <w:p>
            <w:pPr>
              <w:pStyle w:val="17"/>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59.03</w:t>
            </w:r>
          </w:p>
        </w:tc>
        <w:tc>
          <w:tcPr>
            <w:tcW w:w="2551" w:type="dxa"/>
            <w:vAlign w:val="center"/>
          </w:tcPr>
          <w:p>
            <w:pPr>
              <w:pStyle w:val="13"/>
            </w:pPr>
            <w:r>
              <w:t>59.03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19.60</w:t>
            </w:r>
          </w:p>
        </w:tc>
        <w:tc>
          <w:tcPr>
            <w:tcW w:w="2551" w:type="dxa"/>
            <w:vAlign w:val="center"/>
          </w:tcPr>
          <w:p>
            <w:pPr>
              <w:pStyle w:val="13"/>
            </w:pPr>
            <w:r>
              <w:t>19.60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15.15</w:t>
            </w:r>
          </w:p>
        </w:tc>
        <w:tc>
          <w:tcPr>
            <w:tcW w:w="2551" w:type="dxa"/>
            <w:vAlign w:val="center"/>
          </w:tcPr>
          <w:p>
            <w:pPr>
              <w:pStyle w:val="13"/>
            </w:pPr>
            <w:r>
              <w:t>15.15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3.94</w:t>
            </w:r>
          </w:p>
        </w:tc>
        <w:tc>
          <w:tcPr>
            <w:tcW w:w="2551" w:type="dxa"/>
            <w:vAlign w:val="center"/>
          </w:tcPr>
          <w:p>
            <w:pPr>
              <w:pStyle w:val="13"/>
            </w:pPr>
            <w:r>
              <w:t>3.94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4.98</w:t>
            </w:r>
          </w:p>
        </w:tc>
        <w:tc>
          <w:tcPr>
            <w:tcW w:w="2551" w:type="dxa"/>
            <w:vAlign w:val="center"/>
          </w:tcPr>
          <w:p>
            <w:pPr>
              <w:pStyle w:val="13"/>
            </w:pPr>
            <w:r>
              <w:t>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6.21</w:t>
            </w:r>
          </w:p>
        </w:tc>
        <w:tc>
          <w:tcPr>
            <w:tcW w:w="2551" w:type="dxa"/>
            <w:vAlign w:val="center"/>
          </w:tcPr>
          <w:p>
            <w:pPr>
              <w:pStyle w:val="13"/>
            </w:pPr>
            <w:r>
              <w:t>6.21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0.23</w:t>
            </w:r>
          </w:p>
        </w:tc>
        <w:tc>
          <w:tcPr>
            <w:tcW w:w="2551" w:type="dxa"/>
            <w:vAlign w:val="center"/>
          </w:tcPr>
          <w:p>
            <w:pPr>
              <w:pStyle w:val="13"/>
            </w:pPr>
            <w:r>
              <w:t>0.23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4.93</w:t>
            </w:r>
          </w:p>
        </w:tc>
        <w:tc>
          <w:tcPr>
            <w:tcW w:w="2551" w:type="dxa"/>
            <w:vAlign w:val="center"/>
          </w:tcPr>
          <w:p>
            <w:pPr>
              <w:pStyle w:val="13"/>
            </w:pPr>
            <w:r>
              <w:t>4.93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0.80</w:t>
            </w:r>
          </w:p>
        </w:tc>
        <w:tc>
          <w:tcPr>
            <w:tcW w:w="2551" w:type="dxa"/>
            <w:vAlign w:val="center"/>
          </w:tcPr>
          <w:p>
            <w:pPr>
              <w:pStyle w:val="13"/>
            </w:pPr>
            <w:r>
              <w:t>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8.24</w:t>
            </w:r>
          </w:p>
        </w:tc>
        <w:tc>
          <w:tcPr>
            <w:tcW w:w="2551" w:type="dxa"/>
            <w:vAlign w:val="center"/>
          </w:tcPr>
          <w:p>
            <w:pPr>
              <w:pStyle w:val="13"/>
            </w:pPr>
          </w:p>
        </w:tc>
        <w:tc>
          <w:tcPr>
            <w:tcW w:w="2551" w:type="dxa"/>
            <w:vAlign w:val="center"/>
          </w:tcPr>
          <w:p>
            <w:pPr>
              <w:pStyle w:val="13"/>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2.12</w:t>
            </w:r>
          </w:p>
        </w:tc>
        <w:tc>
          <w:tcPr>
            <w:tcW w:w="2551" w:type="dxa"/>
            <w:vAlign w:val="center"/>
          </w:tcPr>
          <w:p>
            <w:pPr>
              <w:pStyle w:val="13"/>
            </w:pPr>
          </w:p>
        </w:tc>
        <w:tc>
          <w:tcPr>
            <w:tcW w:w="2551"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0.10</w:t>
            </w:r>
          </w:p>
        </w:tc>
        <w:tc>
          <w:tcPr>
            <w:tcW w:w="2551" w:type="dxa"/>
            <w:vAlign w:val="center"/>
          </w:tcPr>
          <w:p>
            <w:pPr>
              <w:pStyle w:val="13"/>
            </w:pPr>
          </w:p>
        </w:tc>
        <w:tc>
          <w:tcPr>
            <w:tcW w:w="2551"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0.41</w:t>
            </w:r>
          </w:p>
        </w:tc>
        <w:tc>
          <w:tcPr>
            <w:tcW w:w="2551" w:type="dxa"/>
            <w:vAlign w:val="center"/>
          </w:tcPr>
          <w:p>
            <w:pPr>
              <w:pStyle w:val="13"/>
            </w:pPr>
          </w:p>
        </w:tc>
        <w:tc>
          <w:tcPr>
            <w:tcW w:w="2551" w:type="dxa"/>
            <w:vAlign w:val="center"/>
          </w:tcPr>
          <w:p>
            <w:pPr>
              <w:pStyle w:val="13"/>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3.24</w:t>
            </w:r>
          </w:p>
        </w:tc>
        <w:tc>
          <w:tcPr>
            <w:tcW w:w="2551" w:type="dxa"/>
            <w:vAlign w:val="center"/>
          </w:tcPr>
          <w:p>
            <w:pPr>
              <w:pStyle w:val="13"/>
            </w:pPr>
          </w:p>
        </w:tc>
        <w:tc>
          <w:tcPr>
            <w:tcW w:w="2551"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4.29</w:t>
            </w:r>
          </w:p>
        </w:tc>
        <w:tc>
          <w:tcPr>
            <w:tcW w:w="2551" w:type="dxa"/>
            <w:vAlign w:val="center"/>
          </w:tcPr>
          <w:p>
            <w:pPr>
              <w:pStyle w:val="13"/>
            </w:pPr>
            <w:r>
              <w:t>4.29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4.13</w:t>
            </w:r>
          </w:p>
        </w:tc>
        <w:tc>
          <w:tcPr>
            <w:tcW w:w="2551" w:type="dxa"/>
            <w:vAlign w:val="center"/>
          </w:tcPr>
          <w:p>
            <w:pPr>
              <w:pStyle w:val="13"/>
            </w:pPr>
            <w:r>
              <w:t>4.13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中国共产党承德市鹰手营子矿区委区直机关工作委员会本级2024年单位预算信息公开情况说明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按照《中华人民共和国预算法》、《地方预决算公开操作规程》和《关于进一步推进预算公开工作的实施意见》规定，现将中国共产党承德市鹰手营子矿区委区直机关工作委员会本级2024年单位预算公开如下：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中国共产党承德市鹰手营子矿区委区直机关工作委员会本级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中国共产党承德市鹰手营子矿区委区直机关工作委员会本级上年末固定资产金额为0.00万元（详见下表）。本年度拟购置固定资产总额为0.00万元，已按要求列入政府采购预算，详见政府采购预算表。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286001中国共产党承德市鹰手营子矿区委区直机关工作委员会本级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F4E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2024-06-20T09:04:09Z</dcterms:created>
  <dcterms:modified xsi:type="dcterms:W3CDTF">2024-06-20T01:04:08Z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2024-06-20T09:04:09Z</dcterms:created>
  <dcterms:modified xsi:type="dcterms:W3CDTF">2024-06-20T01:04:09Z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2024-06-20T09:04:05Z</dcterms:created>
  <dcterms:modified xsi:type="dcterms:W3CDTF">2024-06-20T01:04:05Z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2024-06-20T09:04:06Z</dcterms:created>
  <dcterms:modified xsi:type="dcterms:W3CDTF">2024-06-20T01:04:06Z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2024-06-20T09:04:06Z</dcterms:created>
  <dcterms:modified xsi:type="dcterms:W3CDTF">2024-06-20T01:04:06Z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2024-06-20T09:04:06Z</dcterms:created>
  <dcterms:modified xsi:type="dcterms:W3CDTF">2024-06-20T01:04:06Z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9a7fa1b-857d-455d-8f78-79178fb6a2cb}">
  <ds:schemaRefs/>
</ds:datastoreItem>
</file>

<file path=customXml/itemProps10.xml><?xml version="1.0" encoding="utf-8"?>
<ds:datastoreItem xmlns:ds="http://schemas.openxmlformats.org/officeDocument/2006/customXml" ds:itemID="{309c252a-db3f-4f01-9a37-f8fa84ad78f3}">
  <ds:schemaRefs/>
</ds:datastoreItem>
</file>

<file path=customXml/itemProps11.xml><?xml version="1.0" encoding="utf-8"?>
<ds:datastoreItem xmlns:ds="http://schemas.openxmlformats.org/officeDocument/2006/customXml" ds:itemID="{56624c9d-c51b-44a5-a285-41e4cd28f815}">
  <ds:schemaRefs/>
</ds:datastoreItem>
</file>

<file path=customXml/itemProps12.xml><?xml version="1.0" encoding="utf-8"?>
<ds:datastoreItem xmlns:ds="http://schemas.openxmlformats.org/officeDocument/2006/customXml" ds:itemID="{e92f062a-edb3-48fe-9d25-527ebfbf42f3}">
  <ds:schemaRefs/>
</ds:datastoreItem>
</file>

<file path=customXml/itemProps2.xml><?xml version="1.0" encoding="utf-8"?>
<ds:datastoreItem xmlns:ds="http://schemas.openxmlformats.org/officeDocument/2006/customXml" ds:itemID="{3e0f1b70-8a06-4b18-a33f-a412f8fa2323}">
  <ds:schemaRefs/>
</ds:datastoreItem>
</file>

<file path=customXml/itemProps3.xml><?xml version="1.0" encoding="utf-8"?>
<ds:datastoreItem xmlns:ds="http://schemas.openxmlformats.org/officeDocument/2006/customXml" ds:itemID="{65bfd4e8-621a-477e-8330-13ab5a9fc15e}">
  <ds:schemaRefs/>
</ds:datastoreItem>
</file>

<file path=customXml/itemProps4.xml><?xml version="1.0" encoding="utf-8"?>
<ds:datastoreItem xmlns:ds="http://schemas.openxmlformats.org/officeDocument/2006/customXml" ds:itemID="{abbe7a52-5555-4f5c-8a23-5099bd0acf84}">
  <ds:schemaRefs/>
</ds:datastoreItem>
</file>

<file path=customXml/itemProps5.xml><?xml version="1.0" encoding="utf-8"?>
<ds:datastoreItem xmlns:ds="http://schemas.openxmlformats.org/officeDocument/2006/customXml" ds:itemID="{be80bc7e-1765-4566-84c4-31dca3e6c986}">
  <ds:schemaRefs/>
</ds:datastoreItem>
</file>

<file path=customXml/itemProps6.xml><?xml version="1.0" encoding="utf-8"?>
<ds:datastoreItem xmlns:ds="http://schemas.openxmlformats.org/officeDocument/2006/customXml" ds:itemID="{9b3a3192-b1a7-4c65-81f8-e09db7eac3e7}">
  <ds:schemaRefs/>
</ds:datastoreItem>
</file>

<file path=customXml/itemProps7.xml><?xml version="1.0" encoding="utf-8"?>
<ds:datastoreItem xmlns:ds="http://schemas.openxmlformats.org/officeDocument/2006/customXml" ds:itemID="{7e93c952-ba37-4596-a170-38b050efedcf}">
  <ds:schemaRefs/>
</ds:datastoreItem>
</file>

<file path=customXml/itemProps8.xml><?xml version="1.0" encoding="utf-8"?>
<ds:datastoreItem xmlns:ds="http://schemas.openxmlformats.org/officeDocument/2006/customXml" ds:itemID="{6c5dd333-98dc-4a3f-8a27-d00ed53bc793}">
  <ds:schemaRefs/>
</ds:datastoreItem>
</file>

<file path=customXml/itemProps9.xml><?xml version="1.0" encoding="utf-8"?>
<ds:datastoreItem xmlns:ds="http://schemas.openxmlformats.org/officeDocument/2006/customXml" ds:itemID="{5aa433c7-9dc2-45d4-88d2-27c0d1661497}">
  <ds:schemaRefs/>
</ds:datastoreItem>
</file>

<file path=docProps/app.xml><?xml version="1.0" encoding="utf-8"?>
<Properties xmlns="http://schemas.openxmlformats.org/officeDocument/2006/extended-properties" xmlns:vt="http://schemas.openxmlformats.org/officeDocument/2006/docPropsVTypes">
  <Pages>58</Pages>
  <Words>9812</Words>
  <Characters>11804</Characters>
  <TotalTime>0</TotalTime>
  <ScaleCrop>false</ScaleCrop>
  <LinksUpToDate>false</LinksUpToDate>
  <CharactersWithSpaces>12044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2024-06-20T09:04:00Z</dcterms:created>
  <dc:creator>hp</dc:creator>
  <cp:lastModifiedBy>荼靡</cp:lastModifiedBy>
  <dcterms:modified xsi:type="dcterms:W3CDTF">2024-06-20T01:08:55Z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79DEB06F4AE946FF967A1861E79A687C_13</vt:lpwstr>
  </property>
</Properties>
</file>