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0" w:firstLineChars="0"/>
        <w:jc w:val="center"/>
        <w:rPr>
          <w:rFonts w:ascii="仿宋"/>
          <w:b/>
          <w:bCs/>
          <w:sz w:val="44"/>
          <w:szCs w:val="44"/>
        </w:rPr>
      </w:pPr>
    </w:p>
    <w:p>
      <w:pPr>
        <w:spacing w:before="156" w:beforeLines="50" w:line="360" w:lineRule="auto"/>
        <w:ind w:firstLine="0" w:firstLineChars="0"/>
        <w:jc w:val="center"/>
        <w:rPr>
          <w:rFonts w:ascii="仿宋"/>
          <w:b/>
          <w:bCs/>
          <w:sz w:val="44"/>
          <w:szCs w:val="44"/>
        </w:rPr>
      </w:pPr>
    </w:p>
    <w:p>
      <w:pPr>
        <w:spacing w:before="156" w:beforeLines="50" w:line="360" w:lineRule="auto"/>
        <w:ind w:firstLine="0" w:firstLineChars="0"/>
        <w:jc w:val="center"/>
        <w:rPr>
          <w:rFonts w:ascii="仿宋"/>
          <w:b/>
          <w:bCs/>
          <w:spacing w:val="20"/>
          <w:sz w:val="44"/>
          <w:szCs w:val="44"/>
        </w:rPr>
      </w:pPr>
      <w:r>
        <w:rPr>
          <w:rFonts w:hint="eastAsia" w:ascii="仿宋" w:hAnsi="仿宋" w:cs="仿宋"/>
          <w:b/>
          <w:bCs/>
          <w:spacing w:val="20"/>
          <w:sz w:val="44"/>
          <w:szCs w:val="44"/>
        </w:rPr>
        <w:t>承德市鹰手营子矿区矿产资源总体规划</w:t>
      </w:r>
    </w:p>
    <w:p>
      <w:pPr>
        <w:spacing w:before="156" w:beforeLines="50" w:line="360" w:lineRule="auto"/>
        <w:ind w:firstLine="0" w:firstLineChars="0"/>
        <w:jc w:val="center"/>
        <w:rPr>
          <w:rFonts w:ascii="仿宋"/>
          <w:b/>
          <w:bCs/>
          <w:sz w:val="44"/>
          <w:szCs w:val="44"/>
        </w:rPr>
      </w:pPr>
      <w:r>
        <w:rPr>
          <w:rFonts w:hint="eastAsia" w:ascii="仿宋" w:hAnsi="仿宋" w:cs="仿宋"/>
          <w:b/>
          <w:bCs/>
          <w:sz w:val="44"/>
          <w:szCs w:val="44"/>
        </w:rPr>
        <w:t>（</w:t>
      </w:r>
      <w:r>
        <w:rPr>
          <w:rFonts w:ascii="仿宋" w:hAnsi="仿宋" w:cs="仿宋"/>
          <w:b/>
          <w:bCs/>
          <w:sz w:val="44"/>
          <w:szCs w:val="44"/>
        </w:rPr>
        <w:t>2016</w:t>
      </w:r>
      <w:r>
        <w:rPr>
          <w:rFonts w:hint="eastAsia" w:ascii="仿宋" w:hAnsi="仿宋" w:cs="仿宋"/>
          <w:b/>
          <w:bCs/>
          <w:sz w:val="44"/>
          <w:szCs w:val="44"/>
        </w:rPr>
        <w:t>～</w:t>
      </w:r>
      <w:r>
        <w:rPr>
          <w:rFonts w:ascii="仿宋" w:hAnsi="仿宋" w:cs="仿宋"/>
          <w:b/>
          <w:bCs/>
          <w:sz w:val="44"/>
          <w:szCs w:val="44"/>
        </w:rPr>
        <w:t>2020</w:t>
      </w:r>
      <w:r>
        <w:rPr>
          <w:rFonts w:hint="eastAsia" w:ascii="仿宋" w:hAnsi="仿宋" w:cs="仿宋"/>
          <w:b/>
          <w:bCs/>
          <w:sz w:val="44"/>
          <w:szCs w:val="44"/>
        </w:rPr>
        <w:t>年）</w:t>
      </w: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before="156" w:beforeLines="50" w:line="360" w:lineRule="auto"/>
        <w:ind w:firstLine="800" w:firstLineChars="250"/>
        <w:rPr>
          <w:rFonts w:ascii="仿宋"/>
        </w:rPr>
      </w:pPr>
    </w:p>
    <w:p>
      <w:pPr>
        <w:spacing w:line="700" w:lineRule="exact"/>
        <w:ind w:firstLine="0" w:firstLineChars="0"/>
        <w:jc w:val="center"/>
        <w:rPr>
          <w:rFonts w:hint="eastAsia" w:ascii="仿宋" w:hAnsi="仿宋" w:cs="仿宋"/>
          <w:b/>
          <w:bCs/>
        </w:rPr>
        <w:sectPr>
          <w:headerReference r:id="rId6" w:type="first"/>
          <w:footerReference r:id="rId8" w:type="first"/>
          <w:headerReference r:id="rId5" w:type="default"/>
          <w:footerReference r:id="rId7" w:type="default"/>
          <w:pgSz w:w="11906" w:h="16838"/>
          <w:pgMar w:top="1474" w:right="1588" w:bottom="1588" w:left="1474" w:header="851" w:footer="992" w:gutter="0"/>
          <w:pgNumType w:fmt="upperRoman" w:start="1"/>
          <w:cols w:space="720" w:num="1"/>
          <w:titlePg/>
          <w:docGrid w:type="lines" w:linePitch="312" w:charSpace="0"/>
        </w:sectPr>
      </w:pPr>
      <w:r>
        <w:rPr>
          <w:rFonts w:hint="eastAsia" w:ascii="仿宋" w:hAnsi="仿宋" w:cs="仿宋"/>
          <w:b/>
          <w:bCs/>
        </w:rPr>
        <w:t>承德市鹰手营子矿区人民政府</w:t>
      </w:r>
    </w:p>
    <w:p>
      <w:pPr>
        <w:spacing w:before="156" w:beforeLines="50" w:line="360" w:lineRule="auto"/>
        <w:ind w:firstLine="0" w:firstLineChars="0"/>
        <w:jc w:val="center"/>
        <w:rPr>
          <w:rFonts w:hint="eastAsia" w:ascii="仿宋" w:hAnsi="仿宋" w:cs="仿宋"/>
          <w:b/>
          <w:bCs/>
          <w:spacing w:val="20"/>
          <w:sz w:val="44"/>
          <w:szCs w:val="44"/>
        </w:rPr>
      </w:pPr>
    </w:p>
    <w:p>
      <w:pPr>
        <w:spacing w:before="156" w:beforeLines="50" w:line="360" w:lineRule="auto"/>
        <w:ind w:firstLine="0" w:firstLineChars="0"/>
        <w:jc w:val="center"/>
        <w:rPr>
          <w:rFonts w:ascii="仿宋"/>
          <w:b/>
          <w:bCs/>
          <w:spacing w:val="20"/>
          <w:sz w:val="44"/>
          <w:szCs w:val="44"/>
        </w:rPr>
      </w:pPr>
      <w:r>
        <w:rPr>
          <w:rFonts w:hint="eastAsia" w:ascii="仿宋" w:hAnsi="仿宋" w:cs="仿宋"/>
          <w:b/>
          <w:bCs/>
          <w:spacing w:val="20"/>
          <w:sz w:val="44"/>
          <w:szCs w:val="44"/>
        </w:rPr>
        <w:t>承德市鹰手营子矿区矿产资源总体规划</w:t>
      </w:r>
    </w:p>
    <w:p>
      <w:pPr>
        <w:spacing w:before="156" w:beforeLines="50" w:line="360" w:lineRule="auto"/>
        <w:ind w:firstLine="0" w:firstLineChars="0"/>
        <w:jc w:val="center"/>
        <w:rPr>
          <w:rFonts w:ascii="仿宋"/>
          <w:b/>
          <w:bCs/>
          <w:sz w:val="44"/>
          <w:szCs w:val="44"/>
        </w:rPr>
      </w:pPr>
      <w:r>
        <w:rPr>
          <w:rFonts w:hint="eastAsia" w:ascii="仿宋" w:hAnsi="仿宋" w:cs="仿宋"/>
          <w:b/>
          <w:bCs/>
          <w:sz w:val="44"/>
          <w:szCs w:val="44"/>
        </w:rPr>
        <w:t>（</w:t>
      </w:r>
      <w:r>
        <w:rPr>
          <w:rFonts w:ascii="仿宋" w:hAnsi="仿宋" w:cs="仿宋"/>
          <w:b/>
          <w:bCs/>
          <w:sz w:val="44"/>
          <w:szCs w:val="44"/>
        </w:rPr>
        <w:t>2016</w:t>
      </w:r>
      <w:r>
        <w:rPr>
          <w:rFonts w:hint="eastAsia" w:ascii="仿宋" w:hAnsi="仿宋" w:cs="仿宋"/>
          <w:b/>
          <w:bCs/>
          <w:sz w:val="44"/>
          <w:szCs w:val="44"/>
        </w:rPr>
        <w:t>～</w:t>
      </w:r>
      <w:r>
        <w:rPr>
          <w:rFonts w:ascii="仿宋" w:hAnsi="仿宋" w:cs="仿宋"/>
          <w:b/>
          <w:bCs/>
          <w:sz w:val="44"/>
          <w:szCs w:val="44"/>
        </w:rPr>
        <w:t>2020</w:t>
      </w:r>
      <w:r>
        <w:rPr>
          <w:rFonts w:hint="eastAsia" w:ascii="仿宋" w:hAnsi="仿宋" w:cs="仿宋"/>
          <w:b/>
          <w:bCs/>
          <w:sz w:val="44"/>
          <w:szCs w:val="44"/>
        </w:rPr>
        <w:t>年）</w:t>
      </w:r>
    </w:p>
    <w:p>
      <w:pPr>
        <w:spacing w:line="700" w:lineRule="exact"/>
        <w:ind w:firstLine="0" w:firstLineChars="0"/>
        <w:jc w:val="center"/>
        <w:rPr>
          <w:rFonts w:hint="eastAsia" w:ascii="仿宋" w:hAnsi="仿宋" w:cs="仿宋"/>
          <w:b/>
          <w:bCs/>
        </w:rPr>
      </w:pPr>
    </w:p>
    <w:p>
      <w:pPr>
        <w:spacing w:line="700" w:lineRule="exact"/>
        <w:ind w:firstLine="0" w:firstLineChars="0"/>
        <w:jc w:val="center"/>
        <w:rPr>
          <w:rFonts w:hint="eastAsia" w:ascii="仿宋" w:hAnsi="仿宋" w:cs="仿宋"/>
          <w:b/>
          <w:bCs/>
        </w:rPr>
      </w:pPr>
    </w:p>
    <w:p>
      <w:pPr>
        <w:spacing w:line="700" w:lineRule="exact"/>
        <w:ind w:firstLine="0" w:firstLineChars="0"/>
        <w:jc w:val="center"/>
        <w:rPr>
          <w:rFonts w:hint="eastAsia" w:ascii="仿宋" w:hAnsi="仿宋" w:cs="仿宋"/>
          <w:b/>
          <w:bCs/>
        </w:rPr>
      </w:pPr>
    </w:p>
    <w:p>
      <w:pPr>
        <w:spacing w:line="700" w:lineRule="exact"/>
        <w:ind w:firstLine="0" w:firstLineChars="0"/>
        <w:jc w:val="center"/>
        <w:rPr>
          <w:rFonts w:hint="eastAsia" w:ascii="仿宋" w:hAnsi="仿宋" w:cs="仿宋"/>
          <w:b/>
          <w:bCs/>
        </w:rPr>
      </w:pPr>
    </w:p>
    <w:tbl>
      <w:tblPr>
        <w:tblStyle w:val="24"/>
        <w:tblW w:w="8387" w:type="dxa"/>
        <w:tblInd w:w="510" w:type="dxa"/>
        <w:tblLayout w:type="fixed"/>
        <w:tblCellMar>
          <w:top w:w="0" w:type="dxa"/>
          <w:left w:w="108" w:type="dxa"/>
          <w:bottom w:w="0" w:type="dxa"/>
          <w:right w:w="108" w:type="dxa"/>
        </w:tblCellMar>
      </w:tblPr>
      <w:tblGrid>
        <w:gridCol w:w="2150"/>
        <w:gridCol w:w="357"/>
        <w:gridCol w:w="5880"/>
      </w:tblGrid>
      <w:tr>
        <w:tblPrEx>
          <w:tblCellMar>
            <w:top w:w="0" w:type="dxa"/>
            <w:left w:w="108" w:type="dxa"/>
            <w:bottom w:w="0" w:type="dxa"/>
            <w:right w:w="108" w:type="dxa"/>
          </w:tblCellMar>
        </w:tblPrEx>
        <w:trPr>
          <w:trHeight w:val="903" w:hRule="atLeast"/>
        </w:trPr>
        <w:tc>
          <w:tcPr>
            <w:tcW w:w="2150" w:type="dxa"/>
            <w:noWrap w:val="0"/>
            <w:vAlign w:val="center"/>
          </w:tcPr>
          <w:p>
            <w:pPr>
              <w:spacing w:line="560" w:lineRule="exact"/>
              <w:ind w:firstLine="0" w:firstLineChars="0"/>
              <w:jc w:val="distribute"/>
              <w:rPr>
                <w:rFonts w:hint="eastAsia" w:ascii="仿宋" w:hAnsi="仿宋"/>
                <w:szCs w:val="28"/>
              </w:rPr>
            </w:pPr>
            <w:r>
              <w:rPr>
                <w:rFonts w:hint="eastAsia" w:ascii="仿宋" w:hAnsi="仿宋"/>
                <w:szCs w:val="28"/>
              </w:rPr>
              <w:t>提交单位</w:t>
            </w:r>
          </w:p>
        </w:tc>
        <w:tc>
          <w:tcPr>
            <w:tcW w:w="357" w:type="dxa"/>
            <w:noWrap w:val="0"/>
            <w:vAlign w:val="center"/>
          </w:tcPr>
          <w:p>
            <w:pPr>
              <w:spacing w:line="560" w:lineRule="exact"/>
              <w:ind w:firstLine="0" w:firstLineChars="0"/>
              <w:rPr>
                <w:rFonts w:hint="eastAsia" w:ascii="仿宋" w:hAnsi="仿宋"/>
                <w:szCs w:val="28"/>
              </w:rPr>
            </w:pPr>
            <w:r>
              <w:rPr>
                <w:rFonts w:hint="eastAsia" w:ascii="仿宋" w:hAnsi="仿宋"/>
                <w:szCs w:val="28"/>
              </w:rPr>
              <w:t>：</w:t>
            </w:r>
          </w:p>
        </w:tc>
        <w:tc>
          <w:tcPr>
            <w:tcW w:w="5880" w:type="dxa"/>
            <w:noWrap w:val="0"/>
            <w:vAlign w:val="center"/>
          </w:tcPr>
          <w:p>
            <w:pPr>
              <w:spacing w:line="560" w:lineRule="exact"/>
              <w:ind w:firstLine="0" w:firstLineChars="0"/>
              <w:rPr>
                <w:rFonts w:hint="eastAsia" w:ascii="仿宋" w:hAnsi="仿宋" w:eastAsia="仿宋"/>
                <w:szCs w:val="28"/>
                <w:lang w:val="en-US" w:eastAsia="zh-CN"/>
              </w:rPr>
            </w:pPr>
            <w:r>
              <w:rPr>
                <w:rFonts w:hint="eastAsia" w:ascii="仿宋" w:hAnsi="仿宋"/>
                <w:szCs w:val="28"/>
              </w:rPr>
              <w:t>承德市鹰手营子矿区</w:t>
            </w:r>
            <w:r>
              <w:rPr>
                <w:rFonts w:hint="eastAsia" w:ascii="仿宋" w:hAnsi="仿宋"/>
                <w:szCs w:val="28"/>
                <w:lang w:eastAsia="zh-CN"/>
              </w:rPr>
              <w:t>人民政府</w:t>
            </w:r>
          </w:p>
        </w:tc>
      </w:tr>
      <w:tr>
        <w:tblPrEx>
          <w:tblCellMar>
            <w:top w:w="0" w:type="dxa"/>
            <w:left w:w="108" w:type="dxa"/>
            <w:bottom w:w="0" w:type="dxa"/>
            <w:right w:w="108" w:type="dxa"/>
          </w:tblCellMar>
        </w:tblPrEx>
        <w:trPr>
          <w:trHeight w:val="903" w:hRule="atLeast"/>
        </w:trPr>
        <w:tc>
          <w:tcPr>
            <w:tcW w:w="2150" w:type="dxa"/>
            <w:noWrap w:val="0"/>
            <w:vAlign w:val="center"/>
          </w:tcPr>
          <w:p>
            <w:pPr>
              <w:spacing w:line="560" w:lineRule="exact"/>
              <w:ind w:firstLine="0" w:firstLineChars="0"/>
              <w:jc w:val="distribute"/>
              <w:rPr>
                <w:rFonts w:hint="eastAsia" w:ascii="仿宋" w:hAnsi="仿宋"/>
                <w:szCs w:val="28"/>
              </w:rPr>
            </w:pPr>
            <w:r>
              <w:rPr>
                <w:rFonts w:hint="eastAsia" w:ascii="仿宋" w:hAnsi="仿宋"/>
                <w:szCs w:val="28"/>
              </w:rPr>
              <w:t>编制单位</w:t>
            </w:r>
          </w:p>
        </w:tc>
        <w:tc>
          <w:tcPr>
            <w:tcW w:w="357" w:type="dxa"/>
            <w:noWrap w:val="0"/>
            <w:vAlign w:val="center"/>
          </w:tcPr>
          <w:p>
            <w:pPr>
              <w:spacing w:line="560" w:lineRule="exact"/>
              <w:ind w:firstLine="0" w:firstLineChars="0"/>
              <w:rPr>
                <w:rFonts w:hint="eastAsia" w:ascii="仿宋" w:hAnsi="仿宋"/>
                <w:szCs w:val="28"/>
              </w:rPr>
            </w:pPr>
            <w:r>
              <w:rPr>
                <w:rFonts w:hint="eastAsia" w:ascii="仿宋" w:hAnsi="仿宋"/>
                <w:szCs w:val="28"/>
              </w:rPr>
              <w:t>：</w:t>
            </w:r>
          </w:p>
        </w:tc>
        <w:tc>
          <w:tcPr>
            <w:tcW w:w="5880" w:type="dxa"/>
            <w:noWrap w:val="0"/>
            <w:vAlign w:val="center"/>
          </w:tcPr>
          <w:p>
            <w:pPr>
              <w:spacing w:line="560" w:lineRule="exact"/>
              <w:ind w:firstLine="0" w:firstLineChars="0"/>
              <w:rPr>
                <w:rFonts w:hint="eastAsia" w:ascii="仿宋" w:hAnsi="仿宋"/>
                <w:szCs w:val="28"/>
              </w:rPr>
            </w:pPr>
            <w:r>
              <w:rPr>
                <w:rFonts w:hint="eastAsia" w:ascii="仿宋" w:hAnsi="仿宋"/>
                <w:szCs w:val="28"/>
              </w:rPr>
              <w:t>承德市三川地质测绘有限公司</w:t>
            </w:r>
          </w:p>
        </w:tc>
      </w:tr>
      <w:tr>
        <w:tblPrEx>
          <w:tblCellMar>
            <w:top w:w="0" w:type="dxa"/>
            <w:left w:w="108" w:type="dxa"/>
            <w:bottom w:w="0" w:type="dxa"/>
            <w:right w:w="108" w:type="dxa"/>
          </w:tblCellMar>
        </w:tblPrEx>
        <w:trPr>
          <w:trHeight w:val="903" w:hRule="atLeast"/>
        </w:trPr>
        <w:tc>
          <w:tcPr>
            <w:tcW w:w="2150" w:type="dxa"/>
            <w:noWrap w:val="0"/>
            <w:vAlign w:val="center"/>
          </w:tcPr>
          <w:p>
            <w:pPr>
              <w:spacing w:line="560" w:lineRule="exact"/>
              <w:ind w:firstLine="0" w:firstLineChars="0"/>
              <w:jc w:val="distribute"/>
              <w:rPr>
                <w:rFonts w:hint="eastAsia" w:ascii="仿宋" w:hAnsi="仿宋"/>
                <w:szCs w:val="28"/>
              </w:rPr>
            </w:pPr>
            <w:r>
              <w:rPr>
                <w:rFonts w:hint="eastAsia" w:ascii="仿宋" w:hAnsi="仿宋"/>
                <w:szCs w:val="28"/>
              </w:rPr>
              <w:t>单位负责人</w:t>
            </w:r>
          </w:p>
        </w:tc>
        <w:tc>
          <w:tcPr>
            <w:tcW w:w="357" w:type="dxa"/>
            <w:noWrap w:val="0"/>
            <w:vAlign w:val="center"/>
          </w:tcPr>
          <w:p>
            <w:pPr>
              <w:spacing w:line="560" w:lineRule="exact"/>
              <w:ind w:firstLine="0" w:firstLineChars="0"/>
              <w:jc w:val="center"/>
              <w:rPr>
                <w:rFonts w:hint="eastAsia" w:ascii="仿宋" w:hAnsi="仿宋"/>
                <w:szCs w:val="28"/>
              </w:rPr>
            </w:pPr>
            <w:r>
              <w:rPr>
                <w:rFonts w:hint="eastAsia" w:ascii="仿宋" w:hAnsi="仿宋"/>
                <w:szCs w:val="28"/>
              </w:rPr>
              <w:t>：</w:t>
            </w:r>
          </w:p>
        </w:tc>
        <w:tc>
          <w:tcPr>
            <w:tcW w:w="5880" w:type="dxa"/>
            <w:noWrap w:val="0"/>
            <w:vAlign w:val="center"/>
          </w:tcPr>
          <w:p>
            <w:pPr>
              <w:spacing w:line="560" w:lineRule="exact"/>
              <w:ind w:firstLine="0" w:firstLineChars="0"/>
              <w:rPr>
                <w:rFonts w:hint="eastAsia" w:ascii="仿宋" w:hAnsi="仿宋" w:eastAsia="仿宋"/>
                <w:szCs w:val="28"/>
                <w:lang w:eastAsia="zh-CN"/>
              </w:rPr>
            </w:pPr>
            <w:r>
              <w:rPr>
                <w:rFonts w:hint="eastAsia" w:ascii="仿宋" w:hAnsi="仿宋"/>
                <w:szCs w:val="28"/>
                <w:lang w:eastAsia="zh-CN"/>
              </w:rPr>
              <w:t>孙大兴</w:t>
            </w:r>
          </w:p>
        </w:tc>
      </w:tr>
      <w:tr>
        <w:tblPrEx>
          <w:tblCellMar>
            <w:top w:w="0" w:type="dxa"/>
            <w:left w:w="108" w:type="dxa"/>
            <w:bottom w:w="0" w:type="dxa"/>
            <w:right w:w="108" w:type="dxa"/>
          </w:tblCellMar>
        </w:tblPrEx>
        <w:trPr>
          <w:trHeight w:val="903" w:hRule="atLeast"/>
        </w:trPr>
        <w:tc>
          <w:tcPr>
            <w:tcW w:w="2150" w:type="dxa"/>
            <w:noWrap w:val="0"/>
            <w:vAlign w:val="center"/>
          </w:tcPr>
          <w:p>
            <w:pPr>
              <w:spacing w:line="560" w:lineRule="exact"/>
              <w:ind w:firstLine="0" w:firstLineChars="0"/>
              <w:jc w:val="distribute"/>
              <w:rPr>
                <w:rFonts w:hint="eastAsia" w:ascii="仿宋" w:hAnsi="仿宋"/>
                <w:szCs w:val="28"/>
              </w:rPr>
            </w:pPr>
            <w:r>
              <w:rPr>
                <w:rFonts w:hint="eastAsia" w:ascii="仿宋" w:hAnsi="仿宋"/>
                <w:szCs w:val="28"/>
              </w:rPr>
              <w:t>总工程师</w:t>
            </w:r>
          </w:p>
        </w:tc>
        <w:tc>
          <w:tcPr>
            <w:tcW w:w="357" w:type="dxa"/>
            <w:noWrap w:val="0"/>
            <w:vAlign w:val="center"/>
          </w:tcPr>
          <w:p>
            <w:pPr>
              <w:spacing w:line="560" w:lineRule="exact"/>
              <w:ind w:firstLine="0" w:firstLineChars="0"/>
              <w:jc w:val="center"/>
              <w:rPr>
                <w:rFonts w:hint="eastAsia" w:ascii="仿宋" w:hAnsi="仿宋"/>
                <w:szCs w:val="28"/>
              </w:rPr>
            </w:pPr>
            <w:r>
              <w:rPr>
                <w:rFonts w:hint="eastAsia" w:ascii="仿宋" w:hAnsi="仿宋"/>
                <w:szCs w:val="28"/>
              </w:rPr>
              <w:t>：</w:t>
            </w:r>
          </w:p>
        </w:tc>
        <w:tc>
          <w:tcPr>
            <w:tcW w:w="5880" w:type="dxa"/>
            <w:noWrap w:val="0"/>
            <w:vAlign w:val="center"/>
          </w:tcPr>
          <w:p>
            <w:pPr>
              <w:spacing w:line="560" w:lineRule="exact"/>
              <w:ind w:firstLine="0" w:firstLineChars="0"/>
              <w:rPr>
                <w:rFonts w:hint="eastAsia" w:ascii="仿宋" w:hAnsi="仿宋" w:eastAsia="仿宋"/>
                <w:szCs w:val="28"/>
                <w:lang w:eastAsia="zh-CN"/>
              </w:rPr>
            </w:pPr>
            <w:r>
              <w:rPr>
                <w:rFonts w:hint="eastAsia" w:ascii="仿宋" w:hAnsi="仿宋"/>
                <w:szCs w:val="28"/>
                <w:lang w:eastAsia="zh-CN"/>
              </w:rPr>
              <w:t>张彦轶</w:t>
            </w:r>
          </w:p>
        </w:tc>
      </w:tr>
      <w:tr>
        <w:tblPrEx>
          <w:tblCellMar>
            <w:top w:w="0" w:type="dxa"/>
            <w:left w:w="108" w:type="dxa"/>
            <w:bottom w:w="0" w:type="dxa"/>
            <w:right w:w="108" w:type="dxa"/>
          </w:tblCellMar>
        </w:tblPrEx>
        <w:trPr>
          <w:trHeight w:val="914" w:hRule="atLeast"/>
        </w:trPr>
        <w:tc>
          <w:tcPr>
            <w:tcW w:w="2150" w:type="dxa"/>
            <w:noWrap w:val="0"/>
            <w:vAlign w:val="top"/>
          </w:tcPr>
          <w:p>
            <w:pPr>
              <w:spacing w:line="560" w:lineRule="exact"/>
              <w:ind w:firstLine="0" w:firstLineChars="0"/>
              <w:rPr>
                <w:rFonts w:hint="eastAsia" w:ascii="仿宋" w:hAnsi="仿宋"/>
                <w:szCs w:val="28"/>
              </w:rPr>
            </w:pPr>
            <w:r>
              <w:rPr>
                <w:rFonts w:hint="eastAsia" w:ascii="仿宋" w:hAnsi="仿宋"/>
                <w:szCs w:val="28"/>
              </w:rPr>
              <w:t>编　　　  制</w:t>
            </w:r>
          </w:p>
        </w:tc>
        <w:tc>
          <w:tcPr>
            <w:tcW w:w="357" w:type="dxa"/>
            <w:noWrap w:val="0"/>
            <w:vAlign w:val="top"/>
          </w:tcPr>
          <w:p>
            <w:pPr>
              <w:spacing w:line="560" w:lineRule="exact"/>
              <w:ind w:firstLine="0" w:firstLineChars="0"/>
              <w:rPr>
                <w:rFonts w:hint="eastAsia" w:ascii="仿宋" w:hAnsi="仿宋"/>
                <w:szCs w:val="28"/>
              </w:rPr>
            </w:pPr>
            <w:r>
              <w:rPr>
                <w:rFonts w:hint="eastAsia" w:ascii="仿宋" w:hAnsi="仿宋"/>
                <w:szCs w:val="28"/>
              </w:rPr>
              <w:t>：</w:t>
            </w:r>
          </w:p>
        </w:tc>
        <w:tc>
          <w:tcPr>
            <w:tcW w:w="5880" w:type="dxa"/>
            <w:noWrap w:val="0"/>
            <w:vAlign w:val="top"/>
          </w:tcPr>
          <w:p>
            <w:pPr>
              <w:spacing w:line="560" w:lineRule="exact"/>
              <w:ind w:firstLine="0" w:firstLineChars="0"/>
              <w:rPr>
                <w:rFonts w:hint="eastAsia" w:ascii="仿宋" w:hAnsi="仿宋" w:eastAsia="仿宋"/>
                <w:szCs w:val="28"/>
                <w:lang w:eastAsia="zh-CN"/>
              </w:rPr>
            </w:pPr>
            <w:r>
              <w:rPr>
                <w:rFonts w:hint="eastAsia" w:ascii="仿宋" w:hAnsi="仿宋"/>
                <w:szCs w:val="28"/>
                <w:lang w:eastAsia="zh-CN"/>
              </w:rPr>
              <w:t>刘俊峰</w:t>
            </w:r>
            <w:r>
              <w:rPr>
                <w:rFonts w:hint="eastAsia" w:ascii="仿宋" w:hAnsi="仿宋"/>
                <w:szCs w:val="28"/>
                <w:lang w:val="en-US" w:eastAsia="zh-CN"/>
              </w:rPr>
              <w:t xml:space="preserve"> </w:t>
            </w:r>
            <w:r>
              <w:rPr>
                <w:rFonts w:hint="eastAsia" w:ascii="仿宋" w:hAnsi="仿宋"/>
                <w:szCs w:val="28"/>
                <w:lang w:eastAsia="zh-CN"/>
              </w:rPr>
              <w:t>葛松柏</w:t>
            </w:r>
            <w:r>
              <w:rPr>
                <w:rFonts w:hint="eastAsia" w:ascii="仿宋" w:hAnsi="仿宋"/>
                <w:szCs w:val="28"/>
                <w:lang w:val="en-US" w:eastAsia="zh-CN"/>
              </w:rPr>
              <w:t xml:space="preserve"> </w:t>
            </w:r>
            <w:r>
              <w:rPr>
                <w:rFonts w:hint="eastAsia" w:ascii="仿宋" w:hAnsi="仿宋"/>
                <w:szCs w:val="28"/>
                <w:lang w:eastAsia="zh-CN"/>
              </w:rPr>
              <w:t>董树明</w:t>
            </w:r>
          </w:p>
        </w:tc>
      </w:tr>
      <w:tr>
        <w:tblPrEx>
          <w:tblCellMar>
            <w:top w:w="0" w:type="dxa"/>
            <w:left w:w="108" w:type="dxa"/>
            <w:bottom w:w="0" w:type="dxa"/>
            <w:right w:w="108" w:type="dxa"/>
          </w:tblCellMar>
        </w:tblPrEx>
        <w:trPr>
          <w:trHeight w:val="903" w:hRule="atLeast"/>
        </w:trPr>
        <w:tc>
          <w:tcPr>
            <w:tcW w:w="2150" w:type="dxa"/>
            <w:noWrap w:val="0"/>
            <w:vAlign w:val="center"/>
          </w:tcPr>
          <w:p>
            <w:pPr>
              <w:spacing w:line="560" w:lineRule="exact"/>
              <w:ind w:firstLine="0" w:firstLineChars="0"/>
              <w:jc w:val="distribute"/>
              <w:rPr>
                <w:rFonts w:hint="eastAsia" w:ascii="仿宋" w:hAnsi="仿宋"/>
                <w:szCs w:val="28"/>
              </w:rPr>
            </w:pPr>
            <w:r>
              <w:rPr>
                <w:rFonts w:hint="eastAsia" w:ascii="仿宋" w:hAnsi="仿宋"/>
                <w:szCs w:val="28"/>
              </w:rPr>
              <w:t>提交时间</w:t>
            </w:r>
          </w:p>
        </w:tc>
        <w:tc>
          <w:tcPr>
            <w:tcW w:w="357" w:type="dxa"/>
            <w:noWrap w:val="0"/>
            <w:vAlign w:val="center"/>
          </w:tcPr>
          <w:p>
            <w:pPr>
              <w:spacing w:line="560" w:lineRule="exact"/>
              <w:ind w:firstLine="0" w:firstLineChars="0"/>
              <w:rPr>
                <w:rFonts w:hint="eastAsia" w:ascii="仿宋" w:hAnsi="仿宋"/>
                <w:szCs w:val="28"/>
              </w:rPr>
            </w:pPr>
            <w:r>
              <w:rPr>
                <w:rFonts w:hint="eastAsia" w:ascii="仿宋" w:hAnsi="仿宋"/>
                <w:szCs w:val="28"/>
              </w:rPr>
              <w:t>：</w:t>
            </w:r>
          </w:p>
        </w:tc>
        <w:tc>
          <w:tcPr>
            <w:tcW w:w="5880" w:type="dxa"/>
            <w:noWrap w:val="0"/>
            <w:vAlign w:val="center"/>
          </w:tcPr>
          <w:p>
            <w:pPr>
              <w:spacing w:line="560" w:lineRule="exact"/>
              <w:ind w:firstLine="0" w:firstLineChars="0"/>
              <w:rPr>
                <w:rFonts w:hint="eastAsia" w:ascii="仿宋" w:hAnsi="仿宋"/>
                <w:szCs w:val="28"/>
              </w:rPr>
            </w:pPr>
            <w:r>
              <w:rPr>
                <w:rFonts w:hint="eastAsia" w:ascii="仿宋" w:hAnsi="仿宋"/>
                <w:szCs w:val="28"/>
              </w:rPr>
              <w:t>二</w:t>
            </w:r>
            <w:r>
              <w:rPr>
                <w:rFonts w:hint="eastAsia" w:ascii="仿宋" w:hAnsi="仿宋" w:cs="宋体"/>
                <w:szCs w:val="28"/>
              </w:rPr>
              <w:t>〇</w:t>
            </w:r>
            <w:r>
              <w:rPr>
                <w:rFonts w:hint="eastAsia" w:ascii="仿宋" w:hAnsi="仿宋"/>
                <w:szCs w:val="28"/>
              </w:rPr>
              <w:t>二</w:t>
            </w:r>
            <w:r>
              <w:rPr>
                <w:rFonts w:hint="eastAsia" w:ascii="仿宋" w:hAnsi="仿宋" w:cs="宋体"/>
                <w:szCs w:val="28"/>
              </w:rPr>
              <w:t>〇</w:t>
            </w:r>
            <w:r>
              <w:rPr>
                <w:rFonts w:hint="eastAsia" w:ascii="仿宋" w:hAnsi="仿宋" w:cs="仿宋_GB2312"/>
                <w:szCs w:val="28"/>
              </w:rPr>
              <w:t>年</w:t>
            </w:r>
            <w:r>
              <w:rPr>
                <w:rFonts w:hint="eastAsia" w:ascii="仿宋" w:hAnsi="仿宋" w:cs="仿宋_GB2312"/>
                <w:szCs w:val="28"/>
                <w:lang w:eastAsia="zh-CN"/>
              </w:rPr>
              <w:t>三</w:t>
            </w:r>
            <w:r>
              <w:rPr>
                <w:rFonts w:hint="eastAsia" w:ascii="仿宋" w:hAnsi="仿宋"/>
                <w:szCs w:val="28"/>
              </w:rPr>
              <w:t>月</w:t>
            </w:r>
          </w:p>
        </w:tc>
      </w:tr>
    </w:tbl>
    <w:p>
      <w:pPr>
        <w:spacing w:line="700" w:lineRule="exact"/>
        <w:ind w:firstLine="0" w:firstLineChars="0"/>
        <w:jc w:val="center"/>
        <w:rPr>
          <w:rFonts w:hint="eastAsia" w:ascii="仿宋" w:hAnsi="仿宋" w:cs="仿宋"/>
          <w:b/>
          <w:bCs/>
        </w:rPr>
      </w:pPr>
    </w:p>
    <w:p>
      <w:pPr>
        <w:spacing w:line="700" w:lineRule="exact"/>
        <w:ind w:firstLine="0" w:firstLineChars="0"/>
        <w:jc w:val="center"/>
        <w:rPr>
          <w:rFonts w:hint="eastAsia" w:ascii="仿宋" w:hAnsi="仿宋" w:cs="仿宋"/>
          <w:b/>
          <w:bCs/>
        </w:rPr>
        <w:sectPr>
          <w:pgSz w:w="11906" w:h="16838"/>
          <w:pgMar w:top="1474" w:right="1588" w:bottom="1588" w:left="1474" w:header="851" w:footer="992" w:gutter="0"/>
          <w:pgNumType w:fmt="upperRoman" w:start="1"/>
          <w:cols w:space="720" w:num="1"/>
          <w:titlePg/>
          <w:docGrid w:type="lines" w:linePitch="312" w:charSpace="0"/>
        </w:sectPr>
      </w:pPr>
    </w:p>
    <w:p>
      <w:pPr>
        <w:tabs>
          <w:tab w:val="right" w:pos="8306"/>
        </w:tabs>
        <w:spacing w:line="360" w:lineRule="auto"/>
        <w:ind w:firstLine="0" w:firstLineChars="0"/>
        <w:jc w:val="center"/>
        <w:rPr>
          <w:rFonts w:ascii="仿宋" w:hAnsi="仿宋"/>
        </w:rPr>
      </w:pPr>
      <w:r>
        <w:rPr>
          <w:rFonts w:hint="eastAsia" w:ascii="仿宋" w:hAnsi="仿宋" w:cs="仿宋"/>
          <w:b/>
          <w:bCs/>
        </w:rPr>
        <w:t>目</w:t>
      </w:r>
      <w:r>
        <w:rPr>
          <w:rFonts w:ascii="仿宋" w:hAnsi="仿宋" w:cs="仿宋"/>
          <w:b/>
          <w:bCs/>
        </w:rPr>
        <w:t xml:space="preserve">  </w:t>
      </w:r>
      <w:r>
        <w:rPr>
          <w:rFonts w:hint="eastAsia" w:ascii="仿宋" w:hAnsi="仿宋" w:cs="仿宋"/>
          <w:b/>
          <w:bCs/>
        </w:rPr>
        <w:t>录</w:t>
      </w:r>
      <w:r>
        <w:rPr>
          <w:rFonts w:ascii="仿宋" w:hAnsi="仿宋" w:cs="仿宋"/>
          <w:b/>
          <w:bCs/>
          <w:kern w:val="0"/>
        </w:rPr>
        <w:fldChar w:fldCharType="begin"/>
      </w:r>
      <w:r>
        <w:rPr>
          <w:rFonts w:ascii="仿宋" w:hAnsi="仿宋" w:cs="仿宋"/>
          <w:b/>
          <w:bCs/>
          <w:kern w:val="0"/>
        </w:rPr>
        <w:instrText xml:space="preserve"> TOC \o "1-2" \h \z \u </w:instrText>
      </w:r>
      <w:r>
        <w:rPr>
          <w:rFonts w:ascii="仿宋" w:hAnsi="仿宋" w:cs="仿宋"/>
          <w:b/>
          <w:bCs/>
          <w:kern w:val="0"/>
        </w:rPr>
        <w:fldChar w:fldCharType="separate"/>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"_Toc41758805" </w:instrText>
      </w:r>
      <w:r>
        <w:fldChar w:fldCharType="separate"/>
      </w:r>
      <w:r>
        <w:rPr>
          <w:rStyle w:val="27"/>
          <w:rFonts w:ascii="仿宋" w:hAnsi="仿宋" w:cs="仿宋"/>
          <w:sz w:val="32"/>
          <w:szCs w:val="32"/>
        </w:rPr>
        <w:t>总  则</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_Toc41758805 \h </w:instrText>
      </w:r>
      <w:r>
        <w:rPr>
          <w:rFonts w:ascii="仿宋" w:hAnsi="仿宋"/>
          <w:sz w:val="32"/>
          <w:szCs w:val="32"/>
        </w:rPr>
        <w:fldChar w:fldCharType="separate"/>
      </w:r>
      <w:r>
        <w:rPr>
          <w:rFonts w:ascii="仿宋" w:hAnsi="仿宋"/>
          <w:sz w:val="32"/>
          <w:szCs w:val="32"/>
        </w:rPr>
        <w:t>1</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"_Toc41758806" </w:instrText>
      </w:r>
      <w:r>
        <w:fldChar w:fldCharType="separate"/>
      </w:r>
      <w:r>
        <w:rPr>
          <w:rStyle w:val="27"/>
          <w:rFonts w:ascii="仿宋" w:hAnsi="仿宋"/>
          <w:sz w:val="32"/>
          <w:szCs w:val="32"/>
        </w:rPr>
        <w:t>第一章 现状及形势</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_Toc41758806 \h </w:instrText>
      </w:r>
      <w:r>
        <w:rPr>
          <w:rFonts w:ascii="仿宋" w:hAnsi="仿宋"/>
          <w:sz w:val="32"/>
          <w:szCs w:val="32"/>
        </w:rPr>
        <w:fldChar w:fldCharType="separate"/>
      </w:r>
      <w:r>
        <w:rPr>
          <w:rFonts w:ascii="仿宋" w:hAnsi="仿宋"/>
          <w:sz w:val="32"/>
          <w:szCs w:val="32"/>
        </w:rPr>
        <w:t>2</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"_Toc41758807" </w:instrText>
      </w:r>
      <w:r>
        <w:fldChar w:fldCharType="separate"/>
      </w:r>
      <w:r>
        <w:rPr>
          <w:rStyle w:val="27"/>
          <w:rFonts w:ascii="仿宋" w:hAnsi="仿宋" w:cs="仿宋"/>
          <w:sz w:val="32"/>
          <w:szCs w:val="32"/>
        </w:rPr>
        <w:t>第一节 矿产资源概况及开发利用现状</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_Toc41758807 \h </w:instrText>
      </w:r>
      <w:r>
        <w:rPr>
          <w:rFonts w:ascii="仿宋" w:hAnsi="仿宋"/>
          <w:sz w:val="32"/>
          <w:szCs w:val="32"/>
        </w:rPr>
        <w:fldChar w:fldCharType="separate"/>
      </w:r>
      <w:r>
        <w:rPr>
          <w:rFonts w:ascii="仿宋" w:hAnsi="仿宋"/>
          <w:sz w:val="32"/>
          <w:szCs w:val="32"/>
        </w:rPr>
        <w:t>2</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"_Toc41758808" </w:instrText>
      </w:r>
      <w:r>
        <w:fldChar w:fldCharType="separate"/>
      </w:r>
      <w:r>
        <w:rPr>
          <w:rStyle w:val="27"/>
          <w:rFonts w:ascii="仿宋" w:hAnsi="仿宋" w:cs="仿宋"/>
          <w:sz w:val="32"/>
          <w:szCs w:val="32"/>
        </w:rPr>
        <w:t>第二节 第二轮规划实施情况</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_Toc41758808 \h </w:instrText>
      </w:r>
      <w:r>
        <w:rPr>
          <w:rFonts w:ascii="仿宋" w:hAnsi="仿宋"/>
          <w:sz w:val="32"/>
          <w:szCs w:val="32"/>
        </w:rPr>
        <w:fldChar w:fldCharType="separate"/>
      </w:r>
      <w:r>
        <w:rPr>
          <w:rFonts w:ascii="仿宋" w:hAnsi="仿宋"/>
          <w:sz w:val="32"/>
          <w:szCs w:val="32"/>
        </w:rPr>
        <w:t>3</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"_Toc41758809" </w:instrText>
      </w:r>
      <w:r>
        <w:fldChar w:fldCharType="separate"/>
      </w:r>
      <w:r>
        <w:rPr>
          <w:rStyle w:val="27"/>
          <w:rFonts w:ascii="仿宋" w:hAnsi="仿宋" w:cs="仿宋"/>
          <w:sz w:val="32"/>
          <w:szCs w:val="32"/>
        </w:rPr>
        <w:t>第三节 存在问题</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_Toc41758809 \h </w:instrText>
      </w:r>
      <w:r>
        <w:rPr>
          <w:rFonts w:ascii="仿宋" w:hAnsi="仿宋"/>
          <w:sz w:val="32"/>
          <w:szCs w:val="32"/>
        </w:rPr>
        <w:fldChar w:fldCharType="separate"/>
      </w:r>
      <w:r>
        <w:rPr>
          <w:rFonts w:ascii="仿宋" w:hAnsi="仿宋"/>
          <w:sz w:val="32"/>
          <w:szCs w:val="32"/>
        </w:rPr>
        <w:t>5</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"_Toc41758810" </w:instrText>
      </w:r>
      <w:r>
        <w:fldChar w:fldCharType="separate"/>
      </w:r>
      <w:r>
        <w:rPr>
          <w:rStyle w:val="27"/>
          <w:rFonts w:ascii="仿宋" w:hAnsi="仿宋" w:cs="仿宋"/>
          <w:sz w:val="32"/>
          <w:szCs w:val="32"/>
        </w:rPr>
        <w:t>第四节 形势与要求</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_Toc41758810 \h </w:instrText>
      </w:r>
      <w:r>
        <w:rPr>
          <w:rFonts w:ascii="仿宋" w:hAnsi="仿宋"/>
          <w:sz w:val="32"/>
          <w:szCs w:val="32"/>
        </w:rPr>
        <w:fldChar w:fldCharType="separate"/>
      </w:r>
      <w:r>
        <w:rPr>
          <w:rFonts w:ascii="仿宋" w:hAnsi="仿宋"/>
          <w:sz w:val="32"/>
          <w:szCs w:val="32"/>
        </w:rPr>
        <w:t>6</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"_Toc41758811" </w:instrText>
      </w:r>
      <w:r>
        <w:fldChar w:fldCharType="separate"/>
      </w:r>
      <w:r>
        <w:rPr>
          <w:rStyle w:val="27"/>
          <w:rFonts w:ascii="仿宋" w:hAnsi="仿宋"/>
          <w:sz w:val="32"/>
          <w:szCs w:val="32"/>
        </w:rPr>
        <w:t>第二章 指导原则与目标</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_Toc41758811 \h </w:instrText>
      </w:r>
      <w:r>
        <w:rPr>
          <w:rFonts w:ascii="仿宋" w:hAnsi="仿宋"/>
          <w:sz w:val="32"/>
          <w:szCs w:val="32"/>
        </w:rPr>
        <w:fldChar w:fldCharType="separate"/>
      </w:r>
      <w:r>
        <w:rPr>
          <w:rFonts w:ascii="仿宋" w:hAnsi="仿宋"/>
          <w:sz w:val="32"/>
          <w:szCs w:val="32"/>
        </w:rPr>
        <w:t>8</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"_Toc41758812" </w:instrText>
      </w:r>
      <w:r>
        <w:fldChar w:fldCharType="separate"/>
      </w:r>
      <w:r>
        <w:rPr>
          <w:rStyle w:val="27"/>
          <w:rFonts w:ascii="仿宋" w:hAnsi="仿宋" w:cs="仿宋"/>
          <w:sz w:val="32"/>
          <w:szCs w:val="32"/>
        </w:rPr>
        <w:t>第一节 指导原则</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_Toc41758812 \h </w:instrText>
      </w:r>
      <w:r>
        <w:rPr>
          <w:rFonts w:ascii="仿宋" w:hAnsi="仿宋"/>
          <w:sz w:val="32"/>
          <w:szCs w:val="32"/>
        </w:rPr>
        <w:fldChar w:fldCharType="separate"/>
      </w:r>
      <w:r>
        <w:rPr>
          <w:rFonts w:ascii="仿宋" w:hAnsi="仿宋"/>
          <w:sz w:val="32"/>
          <w:szCs w:val="32"/>
        </w:rPr>
        <w:t>8</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"_Toc41758813" </w:instrText>
      </w:r>
      <w:r>
        <w:fldChar w:fldCharType="separate"/>
      </w:r>
      <w:r>
        <w:rPr>
          <w:rStyle w:val="27"/>
          <w:rFonts w:ascii="仿宋" w:hAnsi="仿宋" w:cs="仿宋"/>
          <w:sz w:val="32"/>
          <w:szCs w:val="32"/>
        </w:rPr>
        <w:t>第二节 规划目标</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_Toc41758813 \h </w:instrText>
      </w:r>
      <w:r>
        <w:rPr>
          <w:rFonts w:ascii="仿宋" w:hAnsi="仿宋"/>
          <w:sz w:val="32"/>
          <w:szCs w:val="32"/>
        </w:rPr>
        <w:fldChar w:fldCharType="separate"/>
      </w:r>
      <w:r>
        <w:rPr>
          <w:rFonts w:ascii="仿宋" w:hAnsi="仿宋"/>
          <w:sz w:val="32"/>
          <w:szCs w:val="32"/>
        </w:rPr>
        <w:t>9</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"_Toc41758814" </w:instrText>
      </w:r>
      <w:r>
        <w:fldChar w:fldCharType="separate"/>
      </w:r>
      <w:r>
        <w:rPr>
          <w:rStyle w:val="27"/>
          <w:rFonts w:ascii="仿宋" w:hAnsi="仿宋" w:cs="仿宋"/>
          <w:sz w:val="32"/>
          <w:szCs w:val="32"/>
        </w:rPr>
        <w:t>第三章 矿产开发与资源产业布局</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_Toc41758814 \h </w:instrText>
      </w:r>
      <w:r>
        <w:rPr>
          <w:rFonts w:ascii="仿宋" w:hAnsi="仿宋"/>
          <w:sz w:val="32"/>
          <w:szCs w:val="32"/>
        </w:rPr>
        <w:fldChar w:fldCharType="separate"/>
      </w:r>
      <w:r>
        <w:rPr>
          <w:rFonts w:ascii="仿宋" w:hAnsi="仿宋"/>
          <w:sz w:val="32"/>
          <w:szCs w:val="32"/>
        </w:rPr>
        <w:t>13</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"_Toc41758815" </w:instrText>
      </w:r>
      <w:r>
        <w:fldChar w:fldCharType="separate"/>
      </w:r>
      <w:r>
        <w:rPr>
          <w:rStyle w:val="27"/>
          <w:rFonts w:ascii="仿宋" w:hAnsi="仿宋" w:cs="仿宋"/>
          <w:sz w:val="32"/>
          <w:szCs w:val="32"/>
        </w:rPr>
        <w:t>第一节 矿产资源勘查开发调控方向</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_Toc41758815 \h </w:instrText>
      </w:r>
      <w:r>
        <w:rPr>
          <w:rFonts w:ascii="仿宋" w:hAnsi="仿宋"/>
          <w:sz w:val="32"/>
          <w:szCs w:val="32"/>
        </w:rPr>
        <w:fldChar w:fldCharType="separate"/>
      </w:r>
      <w:r>
        <w:rPr>
          <w:rFonts w:ascii="仿宋" w:hAnsi="仿宋"/>
          <w:sz w:val="32"/>
          <w:szCs w:val="32"/>
        </w:rPr>
        <w:t>13</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"_Toc41758816" </w:instrText>
      </w:r>
      <w:r>
        <w:fldChar w:fldCharType="separate"/>
      </w:r>
      <w:r>
        <w:rPr>
          <w:rStyle w:val="27"/>
          <w:rFonts w:ascii="仿宋" w:hAnsi="仿宋" w:cs="仿宋"/>
          <w:sz w:val="32"/>
          <w:szCs w:val="32"/>
        </w:rPr>
        <w:t>第二节 矿业布局优化调整和转型升级</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_Toc41758816 \h </w:instrText>
      </w:r>
      <w:r>
        <w:rPr>
          <w:rFonts w:ascii="仿宋" w:hAnsi="仿宋"/>
          <w:sz w:val="32"/>
          <w:szCs w:val="32"/>
        </w:rPr>
        <w:fldChar w:fldCharType="separate"/>
      </w:r>
      <w:r>
        <w:rPr>
          <w:rFonts w:ascii="仿宋" w:hAnsi="仿宋"/>
          <w:sz w:val="32"/>
          <w:szCs w:val="32"/>
        </w:rPr>
        <w:t>15</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"_Toc41758817" </w:instrText>
      </w:r>
      <w:r>
        <w:fldChar w:fldCharType="separate"/>
      </w:r>
      <w:r>
        <w:rPr>
          <w:rStyle w:val="27"/>
          <w:rFonts w:ascii="仿宋" w:hAnsi="仿宋" w:cs="仿宋"/>
          <w:sz w:val="32"/>
          <w:szCs w:val="32"/>
        </w:rPr>
        <w:t>第四章 严格规范砂石/小型非金属矿产资源开发管理</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_Toc41758817 \h </w:instrText>
      </w:r>
      <w:r>
        <w:rPr>
          <w:rFonts w:ascii="仿宋" w:hAnsi="仿宋"/>
          <w:sz w:val="32"/>
          <w:szCs w:val="32"/>
        </w:rPr>
        <w:fldChar w:fldCharType="separate"/>
      </w:r>
      <w:r>
        <w:rPr>
          <w:rFonts w:ascii="仿宋" w:hAnsi="仿宋"/>
          <w:sz w:val="32"/>
          <w:szCs w:val="32"/>
        </w:rPr>
        <w:t>17</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"_Toc41758818" </w:instrText>
      </w:r>
      <w:r>
        <w:fldChar w:fldCharType="separate"/>
      </w:r>
      <w:r>
        <w:rPr>
          <w:rStyle w:val="27"/>
          <w:rFonts w:ascii="仿宋" w:hAnsi="仿宋" w:cs="仿宋"/>
          <w:sz w:val="32"/>
          <w:szCs w:val="32"/>
        </w:rPr>
        <w:t>第一节 合理调控开采总量</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_Toc41758818 \h </w:instrText>
      </w:r>
      <w:r>
        <w:rPr>
          <w:rFonts w:ascii="仿宋" w:hAnsi="仿宋"/>
          <w:sz w:val="32"/>
          <w:szCs w:val="32"/>
        </w:rPr>
        <w:fldChar w:fldCharType="separate"/>
      </w:r>
      <w:r>
        <w:rPr>
          <w:rFonts w:ascii="仿宋" w:hAnsi="仿宋"/>
          <w:sz w:val="32"/>
          <w:szCs w:val="32"/>
        </w:rPr>
        <w:t>17</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"_Toc41758819" </w:instrText>
      </w:r>
      <w:r>
        <w:fldChar w:fldCharType="separate"/>
      </w:r>
      <w:r>
        <w:rPr>
          <w:rStyle w:val="27"/>
          <w:rFonts w:ascii="仿宋" w:hAnsi="仿宋" w:cs="仿宋"/>
          <w:sz w:val="32"/>
          <w:szCs w:val="32"/>
        </w:rPr>
        <w:t>第二节 优化资源开采布局</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_Toc41758819 \h </w:instrText>
      </w:r>
      <w:r>
        <w:rPr>
          <w:rFonts w:ascii="仿宋" w:hAnsi="仿宋"/>
          <w:sz w:val="32"/>
          <w:szCs w:val="32"/>
        </w:rPr>
        <w:fldChar w:fldCharType="separate"/>
      </w:r>
      <w:r>
        <w:rPr>
          <w:rFonts w:ascii="仿宋" w:hAnsi="仿宋"/>
          <w:sz w:val="32"/>
          <w:szCs w:val="32"/>
        </w:rPr>
        <w:t>17</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"_Toc41758820" </w:instrText>
      </w:r>
      <w:r>
        <w:fldChar w:fldCharType="separate"/>
      </w:r>
      <w:r>
        <w:rPr>
          <w:rStyle w:val="27"/>
          <w:rFonts w:ascii="仿宋" w:hAnsi="仿宋" w:cs="仿宋"/>
          <w:sz w:val="32"/>
          <w:szCs w:val="32"/>
        </w:rPr>
        <w:t>第三节 严格开采规划准入管理</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_Toc41758820 \h </w:instrText>
      </w:r>
      <w:r>
        <w:rPr>
          <w:rFonts w:ascii="仿宋" w:hAnsi="仿宋"/>
          <w:sz w:val="32"/>
          <w:szCs w:val="32"/>
        </w:rPr>
        <w:fldChar w:fldCharType="separate"/>
      </w:r>
      <w:r>
        <w:rPr>
          <w:rFonts w:ascii="仿宋" w:hAnsi="仿宋"/>
          <w:sz w:val="32"/>
          <w:szCs w:val="32"/>
        </w:rPr>
        <w:t>18</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"_Toc41758821" </w:instrText>
      </w:r>
      <w:r>
        <w:fldChar w:fldCharType="separate"/>
      </w:r>
      <w:r>
        <w:rPr>
          <w:rStyle w:val="27"/>
          <w:rFonts w:ascii="仿宋" w:hAnsi="仿宋"/>
          <w:sz w:val="32"/>
          <w:szCs w:val="32"/>
        </w:rPr>
        <w:t>第五章 积极发展绿色矿业</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_Toc41758821 \h </w:instrText>
      </w:r>
      <w:r>
        <w:rPr>
          <w:rFonts w:ascii="仿宋" w:hAnsi="仿宋"/>
          <w:sz w:val="32"/>
          <w:szCs w:val="32"/>
        </w:rPr>
        <w:fldChar w:fldCharType="separate"/>
      </w:r>
      <w:r>
        <w:rPr>
          <w:rFonts w:ascii="仿宋" w:hAnsi="仿宋"/>
          <w:sz w:val="32"/>
          <w:szCs w:val="32"/>
        </w:rPr>
        <w:t>20</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"_Toc41758822" </w:instrText>
      </w:r>
      <w:r>
        <w:fldChar w:fldCharType="separate"/>
      </w:r>
      <w:r>
        <w:rPr>
          <w:rStyle w:val="27"/>
          <w:rFonts w:ascii="仿宋" w:hAnsi="仿宋"/>
          <w:sz w:val="32"/>
          <w:szCs w:val="32"/>
        </w:rPr>
        <w:t>第一节 加快推进绿色矿山建设</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_Toc41758822 \h </w:instrText>
      </w:r>
      <w:r>
        <w:rPr>
          <w:rFonts w:ascii="仿宋" w:hAnsi="仿宋"/>
          <w:sz w:val="32"/>
          <w:szCs w:val="32"/>
        </w:rPr>
        <w:fldChar w:fldCharType="separate"/>
      </w:r>
      <w:r>
        <w:rPr>
          <w:rFonts w:ascii="仿宋" w:hAnsi="仿宋"/>
          <w:sz w:val="32"/>
          <w:szCs w:val="32"/>
        </w:rPr>
        <w:t>20</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"_Toc41758823" </w:instrText>
      </w:r>
      <w:r>
        <w:fldChar w:fldCharType="separate"/>
      </w:r>
      <w:r>
        <w:rPr>
          <w:rStyle w:val="27"/>
          <w:rFonts w:ascii="仿宋" w:hAnsi="仿宋"/>
          <w:sz w:val="32"/>
          <w:szCs w:val="32"/>
        </w:rPr>
        <w:t>第六章 矿山地质环境保护与治理恢复</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_Toc41758823 \h </w:instrText>
      </w:r>
      <w:r>
        <w:rPr>
          <w:rFonts w:ascii="仿宋" w:hAnsi="仿宋"/>
          <w:sz w:val="32"/>
          <w:szCs w:val="32"/>
        </w:rPr>
        <w:fldChar w:fldCharType="separate"/>
      </w:r>
      <w:r>
        <w:rPr>
          <w:rFonts w:ascii="仿宋" w:hAnsi="仿宋"/>
          <w:sz w:val="32"/>
          <w:szCs w:val="32"/>
        </w:rPr>
        <w:t>22</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"_Toc41758824" </w:instrText>
      </w:r>
      <w:r>
        <w:fldChar w:fldCharType="separate"/>
      </w:r>
      <w:r>
        <w:rPr>
          <w:rStyle w:val="27"/>
          <w:rFonts w:ascii="仿宋" w:hAnsi="仿宋" w:cs="仿宋"/>
          <w:sz w:val="32"/>
          <w:szCs w:val="32"/>
        </w:rPr>
        <w:t>第一节 矿山地质环境保护与治理恢复任务</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_Toc41758824 \h </w:instrText>
      </w:r>
      <w:r>
        <w:rPr>
          <w:rFonts w:ascii="仿宋" w:hAnsi="仿宋"/>
          <w:sz w:val="32"/>
          <w:szCs w:val="32"/>
        </w:rPr>
        <w:fldChar w:fldCharType="separate"/>
      </w:r>
      <w:r>
        <w:rPr>
          <w:rFonts w:ascii="仿宋" w:hAnsi="仿宋"/>
          <w:sz w:val="32"/>
          <w:szCs w:val="32"/>
        </w:rPr>
        <w:t>22</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"_Toc41758825" </w:instrText>
      </w:r>
      <w:r>
        <w:fldChar w:fldCharType="separate"/>
      </w:r>
      <w:r>
        <w:rPr>
          <w:rStyle w:val="27"/>
          <w:rFonts w:ascii="仿宋" w:hAnsi="仿宋" w:cs="仿宋"/>
          <w:sz w:val="32"/>
          <w:szCs w:val="32"/>
        </w:rPr>
        <w:t>第二节 矿山地质环境保护与综合治理分区</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_Toc41758825 \h </w:instrText>
      </w:r>
      <w:r>
        <w:rPr>
          <w:rFonts w:ascii="仿宋" w:hAnsi="仿宋"/>
          <w:sz w:val="32"/>
          <w:szCs w:val="32"/>
        </w:rPr>
        <w:fldChar w:fldCharType="separate"/>
      </w:r>
      <w:r>
        <w:rPr>
          <w:rFonts w:ascii="仿宋" w:hAnsi="仿宋"/>
          <w:sz w:val="32"/>
          <w:szCs w:val="32"/>
        </w:rPr>
        <w:t>22</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"_Toc41758826" </w:instrText>
      </w:r>
      <w:r>
        <w:fldChar w:fldCharType="separate"/>
      </w:r>
      <w:r>
        <w:rPr>
          <w:rStyle w:val="27"/>
          <w:rFonts w:ascii="仿宋" w:hAnsi="仿宋" w:cs="仿宋"/>
          <w:sz w:val="32"/>
          <w:szCs w:val="32"/>
        </w:rPr>
        <w:t>第三节 矿山地质环境保护与综合治理</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_Toc41758826 \h </w:instrText>
      </w:r>
      <w:r>
        <w:rPr>
          <w:rFonts w:ascii="仿宋" w:hAnsi="仿宋"/>
          <w:sz w:val="32"/>
          <w:szCs w:val="32"/>
        </w:rPr>
        <w:fldChar w:fldCharType="separate"/>
      </w:r>
      <w:r>
        <w:rPr>
          <w:rFonts w:ascii="仿宋" w:hAnsi="仿宋"/>
          <w:sz w:val="32"/>
          <w:szCs w:val="32"/>
        </w:rPr>
        <w:t>24</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"_Toc41758827" </w:instrText>
      </w:r>
      <w:r>
        <w:fldChar w:fldCharType="separate"/>
      </w:r>
      <w:r>
        <w:rPr>
          <w:rStyle w:val="27"/>
          <w:rFonts w:ascii="仿宋" w:hAnsi="仿宋" w:cs="仿宋"/>
          <w:sz w:val="32"/>
          <w:szCs w:val="32"/>
        </w:rPr>
        <w:t>第七章 矿业权设置区划及监督管理</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_Toc41758827 \h </w:instrText>
      </w:r>
      <w:r>
        <w:rPr>
          <w:rFonts w:ascii="仿宋" w:hAnsi="仿宋"/>
          <w:sz w:val="32"/>
          <w:szCs w:val="32"/>
        </w:rPr>
        <w:fldChar w:fldCharType="separate"/>
      </w:r>
      <w:r>
        <w:rPr>
          <w:rFonts w:ascii="仿宋" w:hAnsi="仿宋"/>
          <w:sz w:val="32"/>
          <w:szCs w:val="32"/>
        </w:rPr>
        <w:t>26</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"_Toc41758828" </w:instrText>
      </w:r>
      <w:r>
        <w:fldChar w:fldCharType="separate"/>
      </w:r>
      <w:r>
        <w:rPr>
          <w:rStyle w:val="27"/>
          <w:rFonts w:ascii="仿宋" w:hAnsi="仿宋" w:cs="仿宋"/>
          <w:sz w:val="32"/>
          <w:szCs w:val="32"/>
        </w:rPr>
        <w:t>第一节 探矿权设置区划</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_Toc41758828 \h </w:instrText>
      </w:r>
      <w:r>
        <w:rPr>
          <w:rFonts w:ascii="仿宋" w:hAnsi="仿宋"/>
          <w:sz w:val="32"/>
          <w:szCs w:val="32"/>
        </w:rPr>
        <w:fldChar w:fldCharType="separate"/>
      </w:r>
      <w:r>
        <w:rPr>
          <w:rFonts w:ascii="仿宋" w:hAnsi="仿宋"/>
          <w:sz w:val="32"/>
          <w:szCs w:val="32"/>
        </w:rPr>
        <w:t>26</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"_Toc41758829" </w:instrText>
      </w:r>
      <w:r>
        <w:fldChar w:fldCharType="separate"/>
      </w:r>
      <w:r>
        <w:rPr>
          <w:rStyle w:val="27"/>
          <w:rFonts w:ascii="仿宋" w:hAnsi="仿宋" w:cs="仿宋"/>
          <w:sz w:val="32"/>
          <w:szCs w:val="32"/>
        </w:rPr>
        <w:t>第二节 采矿权设置区划</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_Toc41758829 \h </w:instrText>
      </w:r>
      <w:r>
        <w:rPr>
          <w:rFonts w:ascii="仿宋" w:hAnsi="仿宋"/>
          <w:sz w:val="32"/>
          <w:szCs w:val="32"/>
        </w:rPr>
        <w:fldChar w:fldCharType="separate"/>
      </w:r>
      <w:r>
        <w:rPr>
          <w:rFonts w:ascii="仿宋" w:hAnsi="仿宋"/>
          <w:sz w:val="32"/>
          <w:szCs w:val="32"/>
        </w:rPr>
        <w:t>26</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"_Toc41758830" </w:instrText>
      </w:r>
      <w:r>
        <w:fldChar w:fldCharType="separate"/>
      </w:r>
      <w:r>
        <w:rPr>
          <w:rStyle w:val="27"/>
          <w:rFonts w:ascii="仿宋" w:hAnsi="仿宋" w:cs="仿宋"/>
          <w:sz w:val="32"/>
          <w:szCs w:val="32"/>
        </w:rPr>
        <w:t>第三节 严格勘查开发监督管理</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_Toc41758830 \h </w:instrText>
      </w:r>
      <w:r>
        <w:rPr>
          <w:rFonts w:ascii="仿宋" w:hAnsi="仿宋"/>
          <w:sz w:val="32"/>
          <w:szCs w:val="32"/>
        </w:rPr>
        <w:fldChar w:fldCharType="separate"/>
      </w:r>
      <w:r>
        <w:rPr>
          <w:rFonts w:ascii="仿宋" w:hAnsi="仿宋"/>
          <w:sz w:val="32"/>
          <w:szCs w:val="32"/>
        </w:rPr>
        <w:t>26</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"_Toc41758831" </w:instrText>
      </w:r>
      <w:r>
        <w:fldChar w:fldCharType="separate"/>
      </w:r>
      <w:r>
        <w:rPr>
          <w:rStyle w:val="27"/>
          <w:rFonts w:ascii="仿宋" w:hAnsi="仿宋" w:cs="仿宋"/>
          <w:sz w:val="32"/>
          <w:szCs w:val="32"/>
        </w:rPr>
        <w:t>第八章 规划实施管理</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_Toc41758831 \h </w:instrText>
      </w:r>
      <w:r>
        <w:rPr>
          <w:rFonts w:ascii="仿宋" w:hAnsi="仿宋"/>
          <w:sz w:val="32"/>
          <w:szCs w:val="32"/>
        </w:rPr>
        <w:fldChar w:fldCharType="separate"/>
      </w:r>
      <w:r>
        <w:rPr>
          <w:rFonts w:ascii="仿宋" w:hAnsi="仿宋"/>
          <w:sz w:val="32"/>
          <w:szCs w:val="32"/>
        </w:rPr>
        <w:t>28</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"_Toc41758832" </w:instrText>
      </w:r>
      <w:r>
        <w:fldChar w:fldCharType="separate"/>
      </w:r>
      <w:r>
        <w:rPr>
          <w:rStyle w:val="27"/>
          <w:rFonts w:ascii="仿宋" w:hAnsi="仿宋" w:cs="仿宋"/>
          <w:sz w:val="32"/>
          <w:szCs w:val="32"/>
        </w:rPr>
        <w:t>第一节 强化规划制度化管理</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_Toc41758832 \h </w:instrText>
      </w:r>
      <w:r>
        <w:rPr>
          <w:rFonts w:ascii="仿宋" w:hAnsi="仿宋"/>
          <w:sz w:val="32"/>
          <w:szCs w:val="32"/>
        </w:rPr>
        <w:fldChar w:fldCharType="separate"/>
      </w:r>
      <w:r>
        <w:rPr>
          <w:rFonts w:ascii="仿宋" w:hAnsi="仿宋"/>
          <w:sz w:val="32"/>
          <w:szCs w:val="32"/>
        </w:rPr>
        <w:t>28</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"_Toc41758833" </w:instrText>
      </w:r>
      <w:r>
        <w:fldChar w:fldCharType="separate"/>
      </w:r>
      <w:r>
        <w:rPr>
          <w:rStyle w:val="27"/>
          <w:rFonts w:ascii="仿宋" w:hAnsi="仿宋" w:cs="仿宋"/>
          <w:sz w:val="32"/>
          <w:szCs w:val="32"/>
        </w:rPr>
        <w:t>第二节 健全完善规划审查制度</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_Toc41758833 \h </w:instrText>
      </w:r>
      <w:r>
        <w:rPr>
          <w:rFonts w:ascii="仿宋" w:hAnsi="仿宋"/>
          <w:sz w:val="32"/>
          <w:szCs w:val="32"/>
        </w:rPr>
        <w:fldChar w:fldCharType="separate"/>
      </w:r>
      <w:r>
        <w:rPr>
          <w:rFonts w:ascii="仿宋" w:hAnsi="仿宋"/>
          <w:sz w:val="32"/>
          <w:szCs w:val="32"/>
        </w:rPr>
        <w:t>28</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"_Toc41758834" </w:instrText>
      </w:r>
      <w:r>
        <w:fldChar w:fldCharType="separate"/>
      </w:r>
      <w:r>
        <w:rPr>
          <w:rStyle w:val="27"/>
          <w:rFonts w:ascii="仿宋" w:hAnsi="仿宋" w:cs="仿宋"/>
          <w:sz w:val="32"/>
          <w:szCs w:val="32"/>
        </w:rPr>
        <w:t>第三节 健全完善规划实施评估调整机制</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_Toc41758834 \h </w:instrText>
      </w:r>
      <w:r>
        <w:rPr>
          <w:rFonts w:ascii="仿宋" w:hAnsi="仿宋"/>
          <w:sz w:val="32"/>
          <w:szCs w:val="32"/>
        </w:rPr>
        <w:fldChar w:fldCharType="separate"/>
      </w:r>
      <w:r>
        <w:rPr>
          <w:rFonts w:ascii="仿宋" w:hAnsi="仿宋"/>
          <w:sz w:val="32"/>
          <w:szCs w:val="32"/>
        </w:rPr>
        <w:t>29</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"_Toc41758835" </w:instrText>
      </w:r>
      <w:r>
        <w:fldChar w:fldCharType="separate"/>
      </w:r>
      <w:r>
        <w:rPr>
          <w:rStyle w:val="27"/>
          <w:rFonts w:ascii="仿宋" w:hAnsi="仿宋" w:cs="仿宋"/>
          <w:sz w:val="32"/>
          <w:szCs w:val="32"/>
        </w:rPr>
        <w:t>第四节 加强规划实施情况监督检查</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_Toc41758835 \h </w:instrText>
      </w:r>
      <w:r>
        <w:rPr>
          <w:rFonts w:ascii="仿宋" w:hAnsi="仿宋"/>
          <w:sz w:val="32"/>
          <w:szCs w:val="32"/>
        </w:rPr>
        <w:fldChar w:fldCharType="separate"/>
      </w:r>
      <w:r>
        <w:rPr>
          <w:rFonts w:ascii="仿宋" w:hAnsi="仿宋"/>
          <w:sz w:val="32"/>
          <w:szCs w:val="32"/>
        </w:rPr>
        <w:t>29</w:t>
      </w:r>
      <w:r>
        <w:rPr>
          <w:rFonts w:ascii="仿宋" w:hAnsi="仿宋"/>
          <w:sz w:val="32"/>
          <w:szCs w:val="32"/>
        </w:rPr>
        <w:fldChar w:fldCharType="end"/>
      </w:r>
      <w:r>
        <w:rPr>
          <w:rFonts w:ascii="仿宋" w:hAnsi="仿宋"/>
          <w:sz w:val="32"/>
          <w:szCs w:val="32"/>
        </w:rPr>
        <w:fldChar w:fldCharType="end"/>
      </w:r>
    </w:p>
    <w:p>
      <w:pPr>
        <w:pStyle w:val="21"/>
        <w:tabs>
          <w:tab w:val="right" w:leader="dot" w:pos="8834"/>
        </w:tabs>
        <w:ind w:firstLine="640"/>
        <w:rPr>
          <w:rFonts w:ascii="仿宋" w:hAnsi="仿宋" w:cs="Times New Roman"/>
          <w:smallCaps w:val="0"/>
          <w:sz w:val="32"/>
          <w:szCs w:val="32"/>
        </w:rPr>
      </w:pPr>
      <w:r>
        <w:fldChar w:fldCharType="begin"/>
      </w:r>
      <w:r>
        <w:instrText xml:space="preserve"> HYPERLINK \l "_Toc41758836" </w:instrText>
      </w:r>
      <w:r>
        <w:fldChar w:fldCharType="separate"/>
      </w:r>
      <w:r>
        <w:rPr>
          <w:rStyle w:val="27"/>
          <w:rFonts w:ascii="仿宋" w:hAnsi="仿宋" w:cs="仿宋"/>
          <w:sz w:val="32"/>
          <w:szCs w:val="32"/>
        </w:rPr>
        <w:t>第五节 提高规划管理信息化水平</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_Toc41758836 \h </w:instrText>
      </w:r>
      <w:r>
        <w:rPr>
          <w:rFonts w:ascii="仿宋" w:hAnsi="仿宋"/>
          <w:sz w:val="32"/>
          <w:szCs w:val="32"/>
        </w:rPr>
        <w:fldChar w:fldCharType="separate"/>
      </w:r>
      <w:r>
        <w:rPr>
          <w:rFonts w:ascii="仿宋" w:hAnsi="仿宋"/>
          <w:sz w:val="32"/>
          <w:szCs w:val="32"/>
        </w:rPr>
        <w:t>29</w:t>
      </w:r>
      <w:r>
        <w:rPr>
          <w:rFonts w:ascii="仿宋" w:hAnsi="仿宋"/>
          <w:sz w:val="32"/>
          <w:szCs w:val="32"/>
        </w:rPr>
        <w:fldChar w:fldCharType="end"/>
      </w:r>
      <w:r>
        <w:rPr>
          <w:rFonts w:ascii="仿宋" w:hAnsi="仿宋"/>
          <w:sz w:val="32"/>
          <w:szCs w:val="32"/>
        </w:rPr>
        <w:fldChar w:fldCharType="end"/>
      </w:r>
    </w:p>
    <w:p>
      <w:pPr>
        <w:pStyle w:val="18"/>
        <w:tabs>
          <w:tab w:val="right" w:leader="dot" w:pos="8834"/>
        </w:tabs>
        <w:ind w:firstLine="643"/>
        <w:rPr>
          <w:rFonts w:ascii="仿宋" w:hAnsi="仿宋" w:cs="Times New Roman"/>
          <w:b w:val="0"/>
          <w:bCs w:val="0"/>
          <w:caps w:val="0"/>
          <w:sz w:val="32"/>
          <w:szCs w:val="32"/>
        </w:rPr>
      </w:pPr>
      <w:r>
        <w:fldChar w:fldCharType="begin"/>
      </w:r>
      <w:r>
        <w:instrText xml:space="preserve"> HYPERLINK \l "_Toc41758837" </w:instrText>
      </w:r>
      <w:r>
        <w:fldChar w:fldCharType="separate"/>
      </w:r>
      <w:r>
        <w:rPr>
          <w:rStyle w:val="27"/>
          <w:rFonts w:ascii="仿宋" w:hAnsi="仿宋" w:cs="仿宋"/>
          <w:sz w:val="32"/>
          <w:szCs w:val="32"/>
        </w:rPr>
        <w:t>附  则</w:t>
      </w:r>
      <w:r>
        <w:rPr>
          <w:rFonts w:ascii="仿宋" w:hAnsi="仿宋"/>
          <w:sz w:val="32"/>
          <w:szCs w:val="32"/>
        </w:rPr>
        <w:tab/>
      </w:r>
      <w:r>
        <w:rPr>
          <w:rFonts w:ascii="仿宋" w:hAnsi="仿宋"/>
          <w:sz w:val="32"/>
          <w:szCs w:val="32"/>
        </w:rPr>
        <w:fldChar w:fldCharType="begin"/>
      </w:r>
      <w:r>
        <w:rPr>
          <w:rFonts w:ascii="仿宋" w:hAnsi="仿宋"/>
          <w:sz w:val="32"/>
          <w:szCs w:val="32"/>
        </w:rPr>
        <w:instrText xml:space="preserve"> PAGEREF _Toc41758837 \h </w:instrText>
      </w:r>
      <w:r>
        <w:rPr>
          <w:rFonts w:ascii="仿宋" w:hAnsi="仿宋"/>
          <w:sz w:val="32"/>
          <w:szCs w:val="32"/>
        </w:rPr>
        <w:fldChar w:fldCharType="separate"/>
      </w:r>
      <w:r>
        <w:rPr>
          <w:rFonts w:ascii="仿宋" w:hAnsi="仿宋"/>
          <w:sz w:val="32"/>
          <w:szCs w:val="32"/>
        </w:rPr>
        <w:t>30</w:t>
      </w:r>
      <w:r>
        <w:rPr>
          <w:rFonts w:ascii="仿宋" w:hAnsi="仿宋"/>
          <w:sz w:val="32"/>
          <w:szCs w:val="32"/>
        </w:rPr>
        <w:fldChar w:fldCharType="end"/>
      </w:r>
      <w:r>
        <w:rPr>
          <w:rFonts w:ascii="仿宋" w:hAnsi="仿宋"/>
          <w:sz w:val="32"/>
          <w:szCs w:val="32"/>
        </w:rPr>
        <w:fldChar w:fldCharType="end"/>
      </w:r>
    </w:p>
    <w:p>
      <w:pPr>
        <w:tabs>
          <w:tab w:val="right" w:pos="8306"/>
        </w:tabs>
        <w:spacing w:line="360" w:lineRule="auto"/>
        <w:ind w:firstLine="0" w:firstLineChars="0"/>
        <w:jc w:val="center"/>
        <w:rPr>
          <w:rFonts w:ascii="仿宋"/>
          <w:kern w:val="0"/>
        </w:rPr>
        <w:sectPr>
          <w:pgSz w:w="11906" w:h="16838"/>
          <w:pgMar w:top="1474" w:right="1588" w:bottom="1588" w:left="1474" w:header="851" w:footer="992" w:gutter="0"/>
          <w:pgNumType w:fmt="upperRoman" w:start="1"/>
          <w:cols w:space="720" w:num="1"/>
          <w:docGrid w:type="lines" w:linePitch="312" w:charSpace="0"/>
        </w:sectPr>
      </w:pPr>
      <w:r>
        <w:rPr>
          <w:rFonts w:ascii="仿宋" w:hAnsi="仿宋" w:cs="仿宋"/>
          <w:b/>
          <w:bCs/>
          <w:kern w:val="0"/>
        </w:rPr>
        <w:fldChar w:fldCharType="end"/>
      </w:r>
    </w:p>
    <w:p>
      <w:pPr>
        <w:pStyle w:val="2"/>
        <w:spacing w:before="156" w:after="156"/>
        <w:rPr>
          <w:rFonts w:ascii="仿宋"/>
        </w:rPr>
      </w:pPr>
      <w:bookmarkStart w:id="0" w:name="_Toc41758805"/>
      <w:r>
        <w:rPr>
          <w:rFonts w:hint="eastAsia" w:ascii="仿宋" w:hAnsi="仿宋" w:cs="仿宋"/>
        </w:rPr>
        <w:t>总</w:t>
      </w:r>
      <w:r>
        <w:rPr>
          <w:rFonts w:ascii="仿宋" w:hAnsi="仿宋" w:cs="仿宋"/>
        </w:rPr>
        <w:t xml:space="preserve">  </w:t>
      </w:r>
      <w:r>
        <w:rPr>
          <w:rFonts w:hint="eastAsia" w:ascii="仿宋" w:hAnsi="仿宋" w:cs="仿宋"/>
        </w:rPr>
        <w:t>则</w:t>
      </w:r>
      <w:bookmarkEnd w:id="0"/>
    </w:p>
    <w:p>
      <w:pPr>
        <w:spacing w:line="360" w:lineRule="auto"/>
        <w:ind w:firstLine="640"/>
        <w:rPr>
          <w:rFonts w:ascii="仿宋"/>
        </w:rPr>
      </w:pPr>
      <w:r>
        <w:rPr>
          <w:rFonts w:hint="eastAsia" w:ascii="仿宋" w:hAnsi="仿宋" w:cs="仿宋"/>
        </w:rPr>
        <w:t>矿产资源是国民经济和社会发展的重要物质基础，矿产资源保护与合理开发利用事关现代化建设全局。按照“大力推进生态文明建设”的要求，加快矿业转型升级和绿色发展，推进资源利用方式根本转变，全面深化矿产资源管理改革，推进国家绿色矿山建设，促进矿业经济健康发展。根据《河北省矿产资源总体规划（</w:t>
      </w:r>
      <w:r>
        <w:rPr>
          <w:rFonts w:ascii="仿宋" w:hAnsi="仿宋" w:cs="仿宋"/>
        </w:rPr>
        <w:t>2016</w:t>
      </w:r>
      <w:r>
        <w:rPr>
          <w:rFonts w:hint="eastAsia" w:ascii="仿宋" w:hAnsi="仿宋" w:cs="仿宋"/>
        </w:rPr>
        <w:t>～</w:t>
      </w:r>
      <w:r>
        <w:rPr>
          <w:rFonts w:ascii="仿宋" w:hAnsi="仿宋" w:cs="仿宋"/>
        </w:rPr>
        <w:t>2020</w:t>
      </w:r>
      <w:r>
        <w:rPr>
          <w:rFonts w:hint="eastAsia" w:ascii="仿宋" w:hAnsi="仿宋" w:cs="仿宋"/>
        </w:rPr>
        <w:t>年）》、《承德市矿产资源总体规划（</w:t>
      </w:r>
      <w:r>
        <w:rPr>
          <w:rFonts w:ascii="仿宋" w:hAnsi="仿宋" w:cs="仿宋"/>
        </w:rPr>
        <w:t>2016</w:t>
      </w:r>
      <w:r>
        <w:rPr>
          <w:rFonts w:hint="eastAsia" w:ascii="仿宋" w:hAnsi="仿宋" w:cs="仿宋"/>
        </w:rPr>
        <w:t>～</w:t>
      </w:r>
      <w:r>
        <w:rPr>
          <w:rFonts w:ascii="仿宋" w:hAnsi="仿宋" w:cs="仿宋"/>
        </w:rPr>
        <w:t>2020</w:t>
      </w:r>
      <w:r>
        <w:rPr>
          <w:rFonts w:hint="eastAsia" w:ascii="仿宋" w:hAnsi="仿宋" w:cs="仿宋"/>
        </w:rPr>
        <w:t>）》、</w:t>
      </w:r>
      <w:r>
        <w:rPr>
          <w:rFonts w:hint="eastAsia" w:ascii="仿宋" w:hAnsi="仿宋" w:cs="仿宋"/>
          <w:lang w:val="en-GB"/>
        </w:rPr>
        <w:t>《承德市鹰手营子矿区国民经济和社会发展第十三个五年规划纲要》</w:t>
      </w:r>
      <w:r>
        <w:rPr>
          <w:rFonts w:hint="eastAsia" w:ascii="仿宋" w:hAnsi="仿宋" w:cs="仿宋"/>
        </w:rPr>
        <w:t>等相关政策，结合承德市鹰手营子矿区矿产资源分布、开发利用现状，编制了《承德市鹰手营子矿区矿产资源总体规划（</w:t>
      </w:r>
      <w:r>
        <w:rPr>
          <w:rFonts w:ascii="仿宋" w:hAnsi="仿宋" w:cs="仿宋"/>
        </w:rPr>
        <w:t>2016</w:t>
      </w:r>
      <w:r>
        <w:rPr>
          <w:rFonts w:hint="eastAsia" w:ascii="仿宋" w:hAnsi="仿宋" w:cs="仿宋"/>
        </w:rPr>
        <w:t>～</w:t>
      </w:r>
      <w:r>
        <w:rPr>
          <w:rFonts w:ascii="仿宋" w:hAnsi="仿宋" w:cs="仿宋"/>
        </w:rPr>
        <w:t>2020</w:t>
      </w:r>
      <w:r>
        <w:rPr>
          <w:rFonts w:hint="eastAsia" w:ascii="仿宋" w:hAnsi="仿宋" w:cs="仿宋"/>
        </w:rPr>
        <w:t>）》（以下简称《规划》）。</w:t>
      </w:r>
    </w:p>
    <w:p>
      <w:pPr>
        <w:spacing w:line="360" w:lineRule="auto"/>
        <w:ind w:firstLine="640"/>
        <w:rPr>
          <w:rFonts w:ascii="仿宋"/>
        </w:rPr>
      </w:pPr>
      <w:r>
        <w:rPr>
          <w:rFonts w:hint="eastAsia" w:ascii="仿宋" w:hAnsi="仿宋" w:cs="仿宋"/>
        </w:rPr>
        <w:t>《规划》是承德市鹰手营子矿区</w:t>
      </w:r>
      <w:r>
        <w:rPr>
          <w:rFonts w:hint="eastAsia" w:cs="仿宋"/>
          <w:kern w:val="0"/>
        </w:rPr>
        <w:t>“十三五”期间矿产</w:t>
      </w:r>
      <w:r>
        <w:rPr>
          <w:rFonts w:hint="eastAsia" w:ascii="仿宋" w:hAnsi="仿宋" w:cs="仿宋"/>
        </w:rPr>
        <w:t>资源勘查、开发利用和保护的指导性文件，是</w:t>
      </w:r>
      <w:r>
        <w:rPr>
          <w:rFonts w:hint="eastAsia" w:cs="仿宋"/>
          <w:kern w:val="0"/>
        </w:rPr>
        <w:t>统筹安排部署和</w:t>
      </w:r>
      <w:r>
        <w:rPr>
          <w:rFonts w:hint="eastAsia" w:ascii="仿宋" w:hAnsi="仿宋" w:cs="仿宋"/>
        </w:rPr>
        <w:t>依法审批监管</w:t>
      </w:r>
      <w:r>
        <w:rPr>
          <w:rFonts w:hint="eastAsia" w:cs="仿宋"/>
          <w:kern w:val="0"/>
        </w:rPr>
        <w:t>全区</w:t>
      </w:r>
      <w:r>
        <w:rPr>
          <w:rFonts w:hint="eastAsia" w:ascii="仿宋" w:hAnsi="仿宋" w:cs="仿宋"/>
        </w:rPr>
        <w:t>矿业活动的重要依据，涉及矿产资源开发活动的相关行业规划，应当与本规划相衔接。</w:t>
      </w:r>
    </w:p>
    <w:p>
      <w:pPr>
        <w:spacing w:line="360" w:lineRule="auto"/>
        <w:ind w:firstLine="640"/>
        <w:rPr>
          <w:rFonts w:ascii="仿宋"/>
        </w:rPr>
      </w:pPr>
      <w:r>
        <w:rPr>
          <w:rFonts w:hint="eastAsia" w:ascii="仿宋" w:hAnsi="仿宋" w:cs="仿宋"/>
        </w:rPr>
        <w:t>《规划》适用范围为承德市鹰手营子矿区所辖行政区域。</w:t>
      </w:r>
    </w:p>
    <w:p>
      <w:pPr>
        <w:spacing w:line="360" w:lineRule="auto"/>
        <w:ind w:firstLine="640"/>
        <w:rPr>
          <w:rFonts w:ascii="仿宋" w:hAnsi="仿宋" w:cs="仿宋"/>
        </w:rPr>
      </w:pPr>
      <w:bookmarkStart w:id="1" w:name="_Toc312095549"/>
      <w:bookmarkStart w:id="2" w:name="_Toc272395554"/>
      <w:bookmarkStart w:id="3" w:name="_Toc311557269"/>
      <w:bookmarkStart w:id="4" w:name="_Toc292614405"/>
      <w:bookmarkStart w:id="5" w:name="_Toc273885071"/>
      <w:r>
        <w:rPr>
          <w:rFonts w:hint="eastAsia" w:ascii="仿宋" w:hAnsi="仿宋" w:cs="仿宋"/>
        </w:rPr>
        <w:t>《规划》基期为</w:t>
      </w:r>
      <w:r>
        <w:rPr>
          <w:rFonts w:ascii="仿宋" w:hAnsi="仿宋" w:cs="仿宋"/>
        </w:rPr>
        <w:t>2015</w:t>
      </w:r>
      <w:r>
        <w:rPr>
          <w:rFonts w:hint="eastAsia" w:ascii="仿宋" w:hAnsi="仿宋" w:cs="仿宋"/>
        </w:rPr>
        <w:t>年，目标年为</w:t>
      </w:r>
      <w:r>
        <w:rPr>
          <w:rFonts w:ascii="仿宋" w:hAnsi="仿宋" w:cs="仿宋"/>
        </w:rPr>
        <w:t>2020</w:t>
      </w:r>
      <w:r>
        <w:rPr>
          <w:rFonts w:hint="eastAsia" w:ascii="仿宋" w:hAnsi="仿宋" w:cs="仿宋"/>
        </w:rPr>
        <w:t>年，展望到</w:t>
      </w:r>
      <w:r>
        <w:rPr>
          <w:rFonts w:ascii="仿宋" w:hAnsi="仿宋" w:cs="仿宋"/>
        </w:rPr>
        <w:t>2025</w:t>
      </w:r>
      <w:r>
        <w:rPr>
          <w:rFonts w:hint="eastAsia" w:ascii="仿宋" w:hAnsi="仿宋" w:cs="仿宋"/>
        </w:rPr>
        <w:t>年。</w:t>
      </w:r>
    </w:p>
    <w:p>
      <w:pPr>
        <w:pStyle w:val="2"/>
        <w:spacing w:before="156" w:after="156"/>
      </w:pPr>
      <w:r>
        <w:br w:type="page"/>
      </w:r>
      <w:bookmarkEnd w:id="1"/>
      <w:bookmarkEnd w:id="2"/>
      <w:bookmarkEnd w:id="3"/>
      <w:bookmarkEnd w:id="4"/>
      <w:bookmarkEnd w:id="5"/>
      <w:bookmarkStart w:id="6" w:name="_Toc41758806"/>
      <w:r>
        <w:rPr>
          <w:rFonts w:hint="eastAsia"/>
        </w:rPr>
        <w:t>第一章</w:t>
      </w:r>
      <w:r>
        <w:t xml:space="preserve"> </w:t>
      </w:r>
      <w:r>
        <w:rPr>
          <w:rFonts w:hint="eastAsia"/>
        </w:rPr>
        <w:t>现状及形势</w:t>
      </w:r>
      <w:bookmarkEnd w:id="6"/>
    </w:p>
    <w:p>
      <w:pPr>
        <w:ind w:firstLine="640"/>
        <w:rPr>
          <w:rFonts w:ascii="仿宋"/>
          <w:kern w:val="0"/>
        </w:rPr>
      </w:pPr>
      <w:r>
        <w:rPr>
          <w:rFonts w:hint="eastAsia" w:ascii="仿宋" w:hAnsi="仿宋" w:cs="仿宋"/>
        </w:rPr>
        <w:t>承德市鹰手营子矿区位于承德市西南部，地处兴隆县北部山区，除东北部分边界与承德县接壤外，其余均与兴隆县境相接。区内包括鹰手营子镇、汪家庄镇、马圈子镇和寿王坟镇四个镇，面积</w:t>
      </w:r>
      <w:r>
        <w:rPr>
          <w:rFonts w:ascii="仿宋" w:hAnsi="仿宋" w:cs="仿宋"/>
        </w:rPr>
        <w:t>146.5</w:t>
      </w:r>
      <w:r>
        <w:rPr>
          <w:rFonts w:hint="eastAsia" w:ascii="仿宋" w:hAnsi="仿宋" w:cs="仿宋"/>
        </w:rPr>
        <w:t>平方公里，人口</w:t>
      </w:r>
      <w:r>
        <w:rPr>
          <w:rFonts w:ascii="仿宋" w:hAnsi="仿宋" w:cs="仿宋"/>
        </w:rPr>
        <w:t>65016</w:t>
      </w:r>
      <w:r>
        <w:rPr>
          <w:rFonts w:hint="eastAsia" w:ascii="仿宋" w:hAnsi="仿宋" w:cs="仿宋"/>
        </w:rPr>
        <w:t>人。</w:t>
      </w:r>
      <w:r>
        <w:rPr>
          <w:rFonts w:ascii="仿宋" w:hAnsi="仿宋" w:cs="仿宋"/>
          <w:kern w:val="0"/>
        </w:rPr>
        <w:t>2015</w:t>
      </w:r>
      <w:r>
        <w:rPr>
          <w:rFonts w:hint="eastAsia" w:ascii="仿宋" w:hAnsi="仿宋" w:cs="仿宋"/>
          <w:kern w:val="0"/>
        </w:rPr>
        <w:t>年完成地区生产总值</w:t>
      </w:r>
      <w:r>
        <w:rPr>
          <w:rFonts w:ascii="仿宋" w:hAnsi="仿宋" w:cs="仿宋"/>
          <w:kern w:val="0"/>
        </w:rPr>
        <w:t>32</w:t>
      </w:r>
      <w:r>
        <w:rPr>
          <w:rFonts w:hint="eastAsia" w:ascii="仿宋" w:hAnsi="仿宋" w:cs="仿宋"/>
          <w:kern w:val="0"/>
        </w:rPr>
        <w:t>亿元，完成全社会固定资产投资</w:t>
      </w:r>
      <w:r>
        <w:rPr>
          <w:rFonts w:ascii="仿宋" w:hAnsi="仿宋" w:cs="仿宋"/>
          <w:kern w:val="0"/>
        </w:rPr>
        <w:t>28</w:t>
      </w:r>
      <w:r>
        <w:rPr>
          <w:rFonts w:hint="eastAsia" w:ascii="仿宋" w:hAnsi="仿宋" w:cs="仿宋"/>
          <w:kern w:val="0"/>
        </w:rPr>
        <w:t>亿元，</w:t>
      </w:r>
      <w:r>
        <w:rPr>
          <w:rFonts w:ascii="仿宋" w:hAnsi="仿宋" w:cs="仿宋"/>
          <w:kern w:val="0"/>
        </w:rPr>
        <w:t xml:space="preserve"> </w:t>
      </w:r>
      <w:r>
        <w:rPr>
          <w:rFonts w:hint="eastAsia" w:ascii="仿宋" w:hAnsi="仿宋" w:cs="仿宋"/>
          <w:kern w:val="0"/>
        </w:rPr>
        <w:t>“十二五”时期较“十一五”时期年均增长</w:t>
      </w:r>
      <w:r>
        <w:rPr>
          <w:rFonts w:ascii="仿宋" w:hAnsi="仿宋" w:cs="仿宋"/>
          <w:kern w:val="0"/>
        </w:rPr>
        <w:t>18.3%</w:t>
      </w:r>
      <w:r>
        <w:rPr>
          <w:rFonts w:hint="eastAsia" w:ascii="仿宋" w:hAnsi="仿宋" w:cs="仿宋"/>
          <w:kern w:val="0"/>
        </w:rPr>
        <w:t>；完成全部财政收入</w:t>
      </w:r>
      <w:r>
        <w:rPr>
          <w:rFonts w:ascii="仿宋" w:hAnsi="仿宋" w:cs="仿宋"/>
          <w:kern w:val="0"/>
        </w:rPr>
        <w:t>3.15</w:t>
      </w:r>
      <w:r>
        <w:rPr>
          <w:rFonts w:hint="eastAsia" w:ascii="仿宋" w:hAnsi="仿宋" w:cs="仿宋"/>
          <w:kern w:val="0"/>
        </w:rPr>
        <w:t>亿元。</w:t>
      </w:r>
    </w:p>
    <w:p>
      <w:pPr>
        <w:pStyle w:val="3"/>
        <w:spacing w:before="156" w:after="156"/>
        <w:rPr>
          <w:rFonts w:ascii="仿宋" w:cs="Times New Roman"/>
        </w:rPr>
      </w:pPr>
      <w:bookmarkStart w:id="7" w:name="_Toc41758807"/>
      <w:r>
        <w:rPr>
          <w:rFonts w:hint="eastAsia" w:ascii="仿宋" w:hAnsi="仿宋" w:cs="仿宋"/>
        </w:rPr>
        <w:t>第一节</w:t>
      </w:r>
      <w:r>
        <w:rPr>
          <w:rFonts w:ascii="仿宋" w:hAnsi="仿宋" w:cs="仿宋"/>
        </w:rPr>
        <w:t xml:space="preserve"> </w:t>
      </w:r>
      <w:r>
        <w:rPr>
          <w:rFonts w:hint="eastAsia" w:ascii="仿宋" w:hAnsi="仿宋" w:cs="仿宋"/>
        </w:rPr>
        <w:t>矿产资源概况及开发利用现状</w:t>
      </w:r>
      <w:bookmarkEnd w:id="7"/>
    </w:p>
    <w:p>
      <w:pPr>
        <w:pStyle w:val="4"/>
        <w:ind w:firstLine="643"/>
        <w:rPr>
          <w:rFonts w:ascii="仿宋"/>
        </w:rPr>
      </w:pPr>
      <w:r>
        <w:rPr>
          <w:rFonts w:hint="eastAsia" w:ascii="仿宋" w:hAnsi="仿宋" w:cs="仿宋"/>
        </w:rPr>
        <w:t>一、矿产资源概况</w:t>
      </w:r>
    </w:p>
    <w:p>
      <w:pPr>
        <w:ind w:firstLine="640"/>
        <w:rPr>
          <w:rFonts w:ascii="仿宋"/>
        </w:rPr>
      </w:pPr>
      <w:r>
        <w:rPr>
          <w:rFonts w:hint="eastAsia" w:ascii="仿宋" w:hAnsi="仿宋" w:cs="仿宋"/>
        </w:rPr>
        <w:t>承德市鹰手营子矿区地处冀北资源富集地区，矿产资源丰富。截至</w:t>
      </w:r>
      <w:r>
        <w:rPr>
          <w:rFonts w:ascii="仿宋" w:hAnsi="仿宋" w:cs="仿宋"/>
        </w:rPr>
        <w:t>2015</w:t>
      </w:r>
      <w:r>
        <w:rPr>
          <w:rFonts w:hint="eastAsia" w:ascii="仿宋" w:hAnsi="仿宋" w:cs="仿宋"/>
        </w:rPr>
        <w:t>年，已发现各类矿产</w:t>
      </w:r>
      <w:r>
        <w:rPr>
          <w:rFonts w:ascii="仿宋" w:hAnsi="仿宋" w:cs="仿宋"/>
        </w:rPr>
        <w:t>12</w:t>
      </w:r>
      <w:r>
        <w:rPr>
          <w:rFonts w:hint="eastAsia" w:ascii="仿宋" w:hAnsi="仿宋" w:cs="仿宋"/>
        </w:rPr>
        <w:t>种，查明资源储量的矿产有煤、铁、铜、钼、萤石、熔剂用灰岩、水泥用灰岩、耐火粘土种</w:t>
      </w:r>
      <w:r>
        <w:rPr>
          <w:rFonts w:ascii="仿宋" w:hAnsi="仿宋" w:cs="仿宋"/>
        </w:rPr>
        <w:t>8</w:t>
      </w:r>
      <w:r>
        <w:rPr>
          <w:rFonts w:hint="eastAsia" w:ascii="仿宋" w:hAnsi="仿宋" w:cs="仿宋"/>
        </w:rPr>
        <w:t>种，其中煤、铜、铁、石灰岩矿是本区优势矿产。</w:t>
      </w:r>
    </w:p>
    <w:p>
      <w:pPr>
        <w:spacing w:line="600" w:lineRule="exact"/>
        <w:ind w:firstLine="640"/>
        <w:rPr>
          <w:rFonts w:ascii="仿宋"/>
        </w:rPr>
      </w:pPr>
      <w:r>
        <w:rPr>
          <w:rFonts w:hint="eastAsia" w:ascii="仿宋" w:hAnsi="仿宋" w:cs="仿宋"/>
        </w:rPr>
        <w:t>承德市鹰手营子矿区共有上表矿区</w:t>
      </w:r>
      <w:r>
        <w:rPr>
          <w:rFonts w:ascii="仿宋" w:hAnsi="仿宋" w:cs="仿宋"/>
        </w:rPr>
        <w:t>12</w:t>
      </w:r>
      <w:r>
        <w:rPr>
          <w:rFonts w:hint="eastAsia" w:ascii="仿宋" w:hAnsi="仿宋" w:cs="仿宋"/>
        </w:rPr>
        <w:t>处，其中：中型矿床</w:t>
      </w:r>
      <w:r>
        <w:rPr>
          <w:rFonts w:ascii="仿宋" w:hAnsi="仿宋" w:cs="仿宋"/>
        </w:rPr>
        <w:t>3</w:t>
      </w:r>
      <w:r>
        <w:rPr>
          <w:rFonts w:hint="eastAsia" w:ascii="仿宋" w:hAnsi="仿宋" w:cs="仿宋"/>
        </w:rPr>
        <w:t>处，其余均为小型。按主矿种分：煤炭</w:t>
      </w:r>
      <w:r>
        <w:rPr>
          <w:rFonts w:ascii="仿宋" w:hAnsi="仿宋" w:cs="仿宋"/>
        </w:rPr>
        <w:t>3</w:t>
      </w:r>
      <w:r>
        <w:rPr>
          <w:rFonts w:hint="eastAsia" w:ascii="仿宋" w:hAnsi="仿宋" w:cs="仿宋"/>
        </w:rPr>
        <w:t>处，保有资源储量</w:t>
      </w:r>
      <w:r>
        <w:rPr>
          <w:rFonts w:ascii="仿宋" w:hAnsi="仿宋" w:cs="仿宋"/>
        </w:rPr>
        <w:t>1717.2</w:t>
      </w:r>
      <w:r>
        <w:rPr>
          <w:rFonts w:hint="eastAsia" w:ascii="仿宋" w:hAnsi="仿宋" w:cs="仿宋"/>
        </w:rPr>
        <w:t>万吨；铁矿</w:t>
      </w:r>
      <w:r>
        <w:rPr>
          <w:rFonts w:ascii="仿宋" w:hAnsi="仿宋" w:cs="仿宋"/>
        </w:rPr>
        <w:t>1</w:t>
      </w:r>
      <w:r>
        <w:rPr>
          <w:rFonts w:hint="eastAsia" w:ascii="仿宋" w:hAnsi="仿宋" w:cs="仿宋"/>
        </w:rPr>
        <w:t>处，保有资源储量</w:t>
      </w:r>
      <w:r>
        <w:rPr>
          <w:rFonts w:ascii="仿宋" w:hAnsi="仿宋" w:cs="仿宋"/>
        </w:rPr>
        <w:t>6580.4</w:t>
      </w:r>
      <w:r>
        <w:rPr>
          <w:rFonts w:hint="eastAsia" w:ascii="仿宋" w:hAnsi="仿宋" w:cs="仿宋"/>
        </w:rPr>
        <w:t>万吨，铜矿</w:t>
      </w:r>
      <w:r>
        <w:rPr>
          <w:rFonts w:ascii="仿宋" w:hAnsi="仿宋" w:cs="仿宋"/>
        </w:rPr>
        <w:t>2</w:t>
      </w:r>
      <w:r>
        <w:rPr>
          <w:rFonts w:hint="eastAsia" w:ascii="仿宋" w:hAnsi="仿宋" w:cs="仿宋"/>
        </w:rPr>
        <w:t>处，保有资源储量</w:t>
      </w:r>
      <w:r>
        <w:rPr>
          <w:rFonts w:ascii="仿宋" w:hAnsi="仿宋" w:cs="仿宋"/>
        </w:rPr>
        <w:t>1263.0</w:t>
      </w:r>
      <w:r>
        <w:rPr>
          <w:rFonts w:hint="eastAsia" w:ascii="仿宋" w:hAnsi="仿宋" w:cs="仿宋"/>
        </w:rPr>
        <w:t>吨，普通萤石矿</w:t>
      </w:r>
      <w:r>
        <w:rPr>
          <w:rFonts w:ascii="仿宋" w:hAnsi="仿宋" w:cs="仿宋"/>
        </w:rPr>
        <w:t>1</w:t>
      </w:r>
      <w:r>
        <w:rPr>
          <w:rFonts w:hint="eastAsia" w:ascii="仿宋" w:hAnsi="仿宋" w:cs="仿宋"/>
        </w:rPr>
        <w:t>处，保有资源储量</w:t>
      </w:r>
      <w:r>
        <w:rPr>
          <w:rFonts w:ascii="仿宋" w:hAnsi="仿宋" w:cs="仿宋"/>
        </w:rPr>
        <w:t>11.7</w:t>
      </w:r>
      <w:r>
        <w:rPr>
          <w:rFonts w:hint="eastAsia" w:ascii="仿宋" w:hAnsi="仿宋" w:cs="仿宋"/>
        </w:rPr>
        <w:t>万吨，水泥用灰岩</w:t>
      </w:r>
      <w:r>
        <w:rPr>
          <w:rFonts w:ascii="仿宋" w:hAnsi="仿宋" w:cs="仿宋"/>
        </w:rPr>
        <w:t>2</w:t>
      </w:r>
      <w:r>
        <w:rPr>
          <w:rFonts w:hint="eastAsia" w:ascii="仿宋" w:hAnsi="仿宋" w:cs="仿宋"/>
        </w:rPr>
        <w:t>处，保有资源储量</w:t>
      </w:r>
      <w:r>
        <w:rPr>
          <w:rFonts w:ascii="仿宋" w:hAnsi="仿宋" w:cs="仿宋"/>
        </w:rPr>
        <w:t>1674.9</w:t>
      </w:r>
      <w:r>
        <w:rPr>
          <w:rFonts w:hint="eastAsia" w:ascii="仿宋" w:hAnsi="仿宋" w:cs="仿宋"/>
        </w:rPr>
        <w:t>万吨，熔剂用灰岩</w:t>
      </w:r>
      <w:r>
        <w:rPr>
          <w:rFonts w:ascii="仿宋" w:hAnsi="仿宋" w:cs="仿宋"/>
        </w:rPr>
        <w:t>1</w:t>
      </w:r>
      <w:r>
        <w:rPr>
          <w:rFonts w:hint="eastAsia" w:ascii="仿宋" w:hAnsi="仿宋" w:cs="仿宋"/>
        </w:rPr>
        <w:t>处，保有资源储量</w:t>
      </w:r>
      <w:r>
        <w:rPr>
          <w:rFonts w:ascii="仿宋" w:hAnsi="仿宋" w:cs="仿宋"/>
        </w:rPr>
        <w:t>3475.6</w:t>
      </w:r>
      <w:r>
        <w:rPr>
          <w:rFonts w:hint="eastAsia" w:ascii="仿宋" w:hAnsi="仿宋" w:cs="仿宋"/>
        </w:rPr>
        <w:t>万吨，耐火粘土矿</w:t>
      </w:r>
      <w:r>
        <w:rPr>
          <w:rFonts w:ascii="仿宋" w:hAnsi="仿宋" w:cs="仿宋"/>
        </w:rPr>
        <w:t>2</w:t>
      </w:r>
      <w:r>
        <w:rPr>
          <w:rFonts w:hint="eastAsia" w:ascii="仿宋" w:hAnsi="仿宋" w:cs="仿宋"/>
        </w:rPr>
        <w:t>处，保有资源储量</w:t>
      </w:r>
      <w:r>
        <w:rPr>
          <w:rFonts w:ascii="仿宋" w:hAnsi="仿宋" w:cs="仿宋"/>
        </w:rPr>
        <w:t>310.8</w:t>
      </w:r>
      <w:r>
        <w:rPr>
          <w:rFonts w:hint="eastAsia" w:ascii="仿宋" w:hAnsi="仿宋" w:cs="仿宋"/>
        </w:rPr>
        <w:t>万吨。勘查工作程度均为详查程度。</w:t>
      </w:r>
    </w:p>
    <w:p>
      <w:pPr>
        <w:spacing w:line="600" w:lineRule="exact"/>
        <w:ind w:firstLine="640"/>
        <w:rPr>
          <w:rFonts w:ascii="仿宋"/>
        </w:rPr>
      </w:pPr>
      <w:r>
        <w:rPr>
          <w:rFonts w:hint="eastAsia" w:ascii="仿宋" w:hAnsi="仿宋" w:cs="仿宋"/>
        </w:rPr>
        <w:t>截止</w:t>
      </w:r>
      <w:r>
        <w:rPr>
          <w:rFonts w:ascii="仿宋" w:hAnsi="仿宋" w:cs="仿宋"/>
        </w:rPr>
        <w:t>2015</w:t>
      </w:r>
      <w:r>
        <w:rPr>
          <w:rFonts w:hint="eastAsia" w:ascii="仿宋" w:hAnsi="仿宋" w:cs="仿宋"/>
        </w:rPr>
        <w:t>年底，</w:t>
      </w:r>
      <w:r>
        <w:rPr>
          <w:rFonts w:hint="eastAsia" w:ascii="仿宋" w:hAnsi="仿宋" w:cs="仿宋"/>
          <w:kern w:val="0"/>
        </w:rPr>
        <w:t>全区已设置探矿权</w:t>
      </w:r>
      <w:r>
        <w:rPr>
          <w:rFonts w:ascii="仿宋" w:hAnsi="仿宋" w:cs="仿宋"/>
          <w:kern w:val="0"/>
        </w:rPr>
        <w:t>1</w:t>
      </w:r>
      <w:r>
        <w:rPr>
          <w:rFonts w:hint="eastAsia" w:ascii="仿宋" w:hAnsi="仿宋" w:cs="仿宋"/>
          <w:kern w:val="0"/>
        </w:rPr>
        <w:t>个（即河北省承德市鹰手营子区寿王坟镇下店子铜铁矿详查）。探矿权分布在寿王坟镇。</w:t>
      </w:r>
      <w:r>
        <w:rPr>
          <w:rFonts w:hint="eastAsia" w:ascii="仿宋" w:hAnsi="仿宋" w:cs="仿宋"/>
        </w:rPr>
        <w:t>勘查程度为详查。该探矿权为市场项目。</w:t>
      </w:r>
    </w:p>
    <w:p>
      <w:pPr>
        <w:pStyle w:val="4"/>
        <w:ind w:firstLine="643"/>
        <w:rPr>
          <w:rFonts w:ascii="仿宋"/>
        </w:rPr>
      </w:pPr>
      <w:r>
        <w:rPr>
          <w:rFonts w:hint="eastAsia" w:ascii="仿宋" w:hAnsi="仿宋" w:cs="仿宋"/>
        </w:rPr>
        <w:t>二、矿产资源开发利用现状</w:t>
      </w:r>
    </w:p>
    <w:p>
      <w:pPr>
        <w:spacing w:line="600" w:lineRule="exact"/>
        <w:ind w:firstLine="640"/>
        <w:jc w:val="both"/>
        <w:rPr>
          <w:rFonts w:ascii="仿宋"/>
        </w:rPr>
      </w:pPr>
      <w:r>
        <w:rPr>
          <w:rFonts w:hint="eastAsia" w:ascii="仿宋" w:hAnsi="仿宋" w:cs="仿宋"/>
        </w:rPr>
        <w:t>截至</w:t>
      </w:r>
      <w:r>
        <w:rPr>
          <w:rFonts w:ascii="仿宋" w:hAnsi="仿宋" w:cs="仿宋"/>
        </w:rPr>
        <w:t>2015</w:t>
      </w:r>
      <w:r>
        <w:rPr>
          <w:rFonts w:hint="eastAsia" w:ascii="仿宋" w:hAnsi="仿宋" w:cs="仿宋"/>
        </w:rPr>
        <w:t>年底，上表矿区中已开发利用</w:t>
      </w:r>
      <w:r>
        <w:rPr>
          <w:rFonts w:ascii="仿宋" w:hAnsi="仿宋" w:cs="仿宋"/>
        </w:rPr>
        <w:t>9</w:t>
      </w:r>
      <w:r>
        <w:rPr>
          <w:rFonts w:hint="eastAsia" w:ascii="仿宋" w:hAnsi="仿宋" w:cs="仿宋"/>
        </w:rPr>
        <w:t>处，未利用</w:t>
      </w:r>
      <w:r>
        <w:rPr>
          <w:rFonts w:ascii="仿宋" w:hAnsi="仿宋" w:cs="仿宋"/>
        </w:rPr>
        <w:t>3</w:t>
      </w:r>
      <w:r>
        <w:rPr>
          <w:rFonts w:hint="eastAsia" w:ascii="仿宋" w:hAnsi="仿宋" w:cs="仿宋"/>
        </w:rPr>
        <w:t>处。全区共有持采矿权矿山企业</w:t>
      </w:r>
      <w:r>
        <w:rPr>
          <w:rFonts w:ascii="仿宋" w:hAnsi="仿宋" w:cs="仿宋"/>
        </w:rPr>
        <w:t>13</w:t>
      </w:r>
      <w:r>
        <w:rPr>
          <w:rFonts w:hint="eastAsia" w:ascii="仿宋" w:hAnsi="仿宋" w:cs="仿宋"/>
        </w:rPr>
        <w:t>个，按矿种分其中：煤矿</w:t>
      </w:r>
      <w:r>
        <w:rPr>
          <w:rFonts w:ascii="仿宋" w:hAnsi="仿宋" w:cs="仿宋"/>
        </w:rPr>
        <w:t>4</w:t>
      </w:r>
      <w:r>
        <w:rPr>
          <w:rFonts w:hint="eastAsia" w:ascii="仿宋" w:hAnsi="仿宋" w:cs="仿宋"/>
        </w:rPr>
        <w:t>个、铁矿</w:t>
      </w:r>
      <w:r>
        <w:rPr>
          <w:rFonts w:ascii="仿宋" w:hAnsi="仿宋" w:cs="仿宋"/>
        </w:rPr>
        <w:t>4</w:t>
      </w:r>
      <w:r>
        <w:rPr>
          <w:rFonts w:hint="eastAsia" w:ascii="仿宋" w:hAnsi="仿宋" w:cs="仿宋"/>
        </w:rPr>
        <w:t>个、铜矿</w:t>
      </w:r>
      <w:r>
        <w:rPr>
          <w:rFonts w:ascii="仿宋" w:hAnsi="仿宋" w:cs="仿宋"/>
        </w:rPr>
        <w:t>1</w:t>
      </w:r>
      <w:r>
        <w:rPr>
          <w:rFonts w:hint="eastAsia" w:ascii="仿宋" w:hAnsi="仿宋" w:cs="仿宋"/>
        </w:rPr>
        <w:t>个、石灰岩</w:t>
      </w:r>
      <w:r>
        <w:rPr>
          <w:rFonts w:ascii="仿宋" w:hAnsi="仿宋" w:cs="仿宋"/>
        </w:rPr>
        <w:t>3</w:t>
      </w:r>
      <w:r>
        <w:rPr>
          <w:rFonts w:hint="eastAsia" w:ascii="仿宋" w:hAnsi="仿宋" w:cs="仿宋"/>
        </w:rPr>
        <w:t>个、萤石</w:t>
      </w:r>
      <w:r>
        <w:rPr>
          <w:rFonts w:ascii="仿宋" w:hAnsi="仿宋" w:cs="仿宋"/>
        </w:rPr>
        <w:t>1</w:t>
      </w:r>
      <w:r>
        <w:rPr>
          <w:rFonts w:hint="eastAsia" w:ascii="仿宋" w:hAnsi="仿宋" w:cs="仿宋"/>
        </w:rPr>
        <w:t>个；按规模分其中：中型矿山</w:t>
      </w:r>
      <w:r>
        <w:rPr>
          <w:rFonts w:ascii="仿宋" w:hAnsi="仿宋" w:cs="仿宋"/>
        </w:rPr>
        <w:t>1</w:t>
      </w:r>
      <w:r>
        <w:rPr>
          <w:rFonts w:hint="eastAsia" w:ascii="仿宋" w:hAnsi="仿宋" w:cs="仿宋"/>
        </w:rPr>
        <w:t>个、小型矿山</w:t>
      </w:r>
      <w:r>
        <w:rPr>
          <w:rFonts w:ascii="仿宋" w:hAnsi="仿宋" w:cs="仿宋"/>
        </w:rPr>
        <w:t>12</w:t>
      </w:r>
      <w:r>
        <w:rPr>
          <w:rFonts w:hint="eastAsia" w:ascii="仿宋" w:hAnsi="仿宋" w:cs="仿宋"/>
        </w:rPr>
        <w:t>个，小型矿山占矿山总数的</w:t>
      </w:r>
      <w:r>
        <w:rPr>
          <w:rFonts w:ascii="仿宋" w:hAnsi="仿宋" w:cs="仿宋"/>
        </w:rPr>
        <w:t>92.3%</w:t>
      </w:r>
      <w:r>
        <w:rPr>
          <w:rFonts w:hint="eastAsia" w:ascii="仿宋" w:hAnsi="仿宋" w:cs="仿宋"/>
        </w:rPr>
        <w:t>，占比较大。全区矿业从业人员</w:t>
      </w:r>
      <w:r>
        <w:rPr>
          <w:rFonts w:ascii="仿宋" w:hAnsi="仿宋" w:cs="仿宋"/>
        </w:rPr>
        <w:t>3563</w:t>
      </w:r>
      <w:r>
        <w:rPr>
          <w:rFonts w:hint="eastAsia" w:ascii="仿宋" w:hAnsi="仿宋" w:cs="仿宋"/>
        </w:rPr>
        <w:t>余人，矿业年产值</w:t>
      </w:r>
      <w:r>
        <w:rPr>
          <w:rFonts w:ascii="仿宋" w:hAnsi="仿宋" w:cs="仿宋"/>
        </w:rPr>
        <w:t>1</w:t>
      </w:r>
      <w:r>
        <w:rPr>
          <w:rFonts w:ascii="仿宋" w:cs="仿宋"/>
        </w:rPr>
        <w:t>.</w:t>
      </w:r>
      <w:r>
        <w:rPr>
          <w:rFonts w:ascii="仿宋" w:hAnsi="仿宋" w:cs="仿宋"/>
        </w:rPr>
        <w:t>57</w:t>
      </w:r>
      <w:r>
        <w:rPr>
          <w:rFonts w:hint="eastAsia" w:ascii="仿宋" w:hAnsi="仿宋" w:cs="仿宋"/>
        </w:rPr>
        <w:t>亿元。</w:t>
      </w:r>
    </w:p>
    <w:p>
      <w:pPr>
        <w:spacing w:line="600" w:lineRule="exact"/>
        <w:ind w:firstLine="640"/>
        <w:jc w:val="both"/>
        <w:rPr>
          <w:rFonts w:ascii="仿宋"/>
        </w:rPr>
      </w:pPr>
      <w:r>
        <w:rPr>
          <w:rFonts w:ascii="仿宋" w:hAnsi="仿宋" w:cs="仿宋"/>
        </w:rPr>
        <w:t>2015</w:t>
      </w:r>
      <w:r>
        <w:rPr>
          <w:rFonts w:hint="eastAsia" w:ascii="仿宋" w:hAnsi="仿宋" w:cs="仿宋"/>
        </w:rPr>
        <w:t>年，煤矿年产量为</w:t>
      </w:r>
      <w:r>
        <w:rPr>
          <w:rFonts w:ascii="仿宋" w:hAnsi="仿宋" w:cs="仿宋"/>
        </w:rPr>
        <w:t>70.30</w:t>
      </w:r>
      <w:r>
        <w:rPr>
          <w:rFonts w:hint="eastAsia" w:ascii="仿宋" w:hAnsi="仿宋" w:cs="仿宋"/>
        </w:rPr>
        <w:t>万吨，年产值为</w:t>
      </w:r>
      <w:r>
        <w:rPr>
          <w:rFonts w:ascii="仿宋" w:hAnsi="仿宋" w:cs="仿宋"/>
        </w:rPr>
        <w:t>5035.59</w:t>
      </w:r>
      <w:r>
        <w:rPr>
          <w:rFonts w:hint="eastAsia" w:ascii="仿宋" w:hAnsi="仿宋" w:cs="仿宋"/>
        </w:rPr>
        <w:t>万元，铁矿石年产量为</w:t>
      </w:r>
      <w:r>
        <w:rPr>
          <w:rFonts w:ascii="仿宋" w:hAnsi="仿宋" w:cs="仿宋"/>
        </w:rPr>
        <w:t>68.55</w:t>
      </w:r>
      <w:r>
        <w:rPr>
          <w:rFonts w:hint="eastAsia" w:ascii="仿宋" w:hAnsi="仿宋" w:cs="仿宋"/>
        </w:rPr>
        <w:t>万吨，年产值为</w:t>
      </w:r>
      <w:r>
        <w:rPr>
          <w:rFonts w:ascii="仿宋" w:hAnsi="仿宋" w:cs="仿宋"/>
        </w:rPr>
        <w:t>9410.9</w:t>
      </w:r>
      <w:r>
        <w:rPr>
          <w:rFonts w:hint="eastAsia" w:ascii="仿宋" w:hAnsi="仿宋" w:cs="仿宋"/>
        </w:rPr>
        <w:t>万元，水泥用灰岩矿年产量为</w:t>
      </w:r>
      <w:r>
        <w:rPr>
          <w:rFonts w:ascii="仿宋" w:hAnsi="仿宋" w:cs="仿宋"/>
        </w:rPr>
        <w:t>15</w:t>
      </w:r>
      <w:r>
        <w:rPr>
          <w:rFonts w:hint="eastAsia" w:ascii="仿宋" w:hAnsi="仿宋" w:cs="仿宋"/>
        </w:rPr>
        <w:t>万吨，年产值为</w:t>
      </w:r>
      <w:r>
        <w:rPr>
          <w:rFonts w:ascii="仿宋" w:hAnsi="仿宋" w:cs="仿宋"/>
        </w:rPr>
        <w:t>1232.9</w:t>
      </w:r>
      <w:r>
        <w:rPr>
          <w:rFonts w:hint="eastAsia" w:ascii="仿宋" w:hAnsi="仿宋" w:cs="仿宋"/>
        </w:rPr>
        <w:t>万元。</w:t>
      </w:r>
    </w:p>
    <w:p>
      <w:pPr>
        <w:pStyle w:val="4"/>
        <w:ind w:firstLine="643"/>
        <w:rPr>
          <w:rFonts w:ascii="仿宋"/>
        </w:rPr>
      </w:pPr>
      <w:bookmarkStart w:id="8" w:name="_Toc299629511"/>
      <w:r>
        <w:rPr>
          <w:rFonts w:hint="eastAsia" w:ascii="仿宋" w:hAnsi="仿宋" w:cs="仿宋"/>
        </w:rPr>
        <w:t>三、矿山地质环境保护与综合治理</w:t>
      </w:r>
      <w:bookmarkEnd w:id="8"/>
    </w:p>
    <w:p>
      <w:pPr>
        <w:spacing w:line="560" w:lineRule="exact"/>
        <w:ind w:firstLine="640"/>
        <w:rPr>
          <w:rFonts w:ascii="仿宋"/>
        </w:rPr>
      </w:pPr>
      <w:r>
        <w:rPr>
          <w:rFonts w:hint="eastAsia" w:ascii="仿宋" w:hAnsi="仿宋" w:cs="仿宋"/>
        </w:rPr>
        <w:t>截至</w:t>
      </w:r>
      <w:r>
        <w:rPr>
          <w:rFonts w:ascii="仿宋" w:hAnsi="仿宋" w:cs="仿宋"/>
        </w:rPr>
        <w:t>2015</w:t>
      </w:r>
      <w:r>
        <w:rPr>
          <w:rFonts w:hint="eastAsia" w:ascii="仿宋" w:hAnsi="仿宋" w:cs="仿宋"/>
        </w:rPr>
        <w:t>年底，累计完成矿山地质环境治理恢复总面积</w:t>
      </w:r>
      <w:r>
        <w:rPr>
          <w:rFonts w:ascii="仿宋" w:hAnsi="仿宋" w:cs="仿宋"/>
        </w:rPr>
        <w:t>69.77</w:t>
      </w:r>
      <w:r>
        <w:rPr>
          <w:rFonts w:hint="eastAsia" w:ascii="仿宋" w:hAnsi="仿宋" w:cs="仿宋"/>
        </w:rPr>
        <w:t>公顷。新建、在建和生产矿山地质环境得到全面治理恢复，历史遗留矿山地质环境治理恢复率达到</w:t>
      </w:r>
      <w:r>
        <w:rPr>
          <w:rFonts w:ascii="仿宋" w:hAnsi="仿宋" w:cs="仿宋"/>
        </w:rPr>
        <w:t>40%</w:t>
      </w:r>
      <w:r>
        <w:rPr>
          <w:rFonts w:hint="eastAsia" w:ascii="仿宋" w:hAnsi="仿宋" w:cs="仿宋"/>
        </w:rPr>
        <w:t>。</w:t>
      </w:r>
    </w:p>
    <w:p>
      <w:pPr>
        <w:pStyle w:val="3"/>
        <w:spacing w:before="156" w:after="156"/>
        <w:ind w:firstLine="643"/>
        <w:rPr>
          <w:rFonts w:ascii="仿宋" w:cs="Times New Roman"/>
        </w:rPr>
      </w:pPr>
      <w:bookmarkStart w:id="9" w:name="_Toc273885073"/>
      <w:bookmarkStart w:id="10" w:name="_Toc312095554"/>
      <w:bookmarkStart w:id="11" w:name="_Toc292614407"/>
      <w:bookmarkStart w:id="12" w:name="_Toc311557274"/>
      <w:bookmarkStart w:id="13" w:name="_Toc288121077"/>
      <w:bookmarkStart w:id="14" w:name="_Toc41758808"/>
      <w:r>
        <w:rPr>
          <w:rFonts w:hint="eastAsia" w:ascii="仿宋" w:hAnsi="仿宋" w:cs="仿宋"/>
        </w:rPr>
        <w:t>第二节</w:t>
      </w:r>
      <w:r>
        <w:rPr>
          <w:rFonts w:ascii="仿宋" w:hAnsi="仿宋" w:cs="仿宋"/>
        </w:rPr>
        <w:t xml:space="preserve"> </w:t>
      </w:r>
      <w:r>
        <w:rPr>
          <w:rFonts w:hint="eastAsia" w:ascii="仿宋" w:hAnsi="仿宋" w:cs="仿宋"/>
        </w:rPr>
        <w:t>第二轮规划实施情况</w:t>
      </w:r>
      <w:bookmarkEnd w:id="9"/>
      <w:bookmarkEnd w:id="10"/>
      <w:bookmarkEnd w:id="11"/>
      <w:bookmarkEnd w:id="12"/>
      <w:bookmarkEnd w:id="13"/>
      <w:bookmarkEnd w:id="14"/>
    </w:p>
    <w:p>
      <w:pPr>
        <w:ind w:firstLine="640"/>
        <w:rPr>
          <w:rFonts w:ascii="仿宋"/>
        </w:rPr>
      </w:pPr>
      <w:r>
        <w:rPr>
          <w:rFonts w:hint="eastAsia" w:ascii="仿宋" w:hAnsi="仿宋" w:cs="仿宋"/>
        </w:rPr>
        <w:t>《承德市鹰手营子矿区矿产资源总体规划（</w:t>
      </w:r>
      <w:r>
        <w:rPr>
          <w:rFonts w:ascii="仿宋" w:hAnsi="仿宋" w:cs="仿宋"/>
        </w:rPr>
        <w:t>2011</w:t>
      </w:r>
      <w:r>
        <w:rPr>
          <w:rFonts w:hint="eastAsia" w:ascii="仿宋" w:hAnsi="仿宋" w:cs="仿宋"/>
        </w:rPr>
        <w:t>～</w:t>
      </w:r>
      <w:r>
        <w:rPr>
          <w:rFonts w:ascii="仿宋" w:hAnsi="仿宋" w:cs="仿宋"/>
        </w:rPr>
        <w:t>2015</w:t>
      </w:r>
      <w:r>
        <w:rPr>
          <w:rFonts w:hint="eastAsia" w:ascii="仿宋" w:hAnsi="仿宋" w:cs="仿宋"/>
        </w:rPr>
        <w:t>年）》自实施以来，全区矿产资源勘查工作得到加强，整顿矿产资源开发秩序成效显著，通过资源整合有效促进了矿产资源的开发利用水平，矿山地质环境保护与治理恢复工作取得一定成效，矿产资源管理更加科学、规范，上轮规划有效地指导了全区矿业经济活动。</w:t>
      </w:r>
    </w:p>
    <w:p>
      <w:pPr>
        <w:spacing w:line="600" w:lineRule="exact"/>
        <w:ind w:firstLine="643"/>
        <w:jc w:val="both"/>
        <w:rPr>
          <w:rFonts w:ascii="仿宋"/>
        </w:rPr>
      </w:pPr>
      <w:r>
        <w:rPr>
          <w:rFonts w:hint="eastAsia" w:ascii="仿宋" w:hAnsi="仿宋" w:cs="仿宋"/>
          <w:b/>
          <w:bCs/>
        </w:rPr>
        <w:t>矿业对区域经济发展起到支撑作用。</w:t>
      </w:r>
      <w:r>
        <w:rPr>
          <w:rFonts w:hint="eastAsia" w:ascii="仿宋" w:cs="仿宋"/>
          <w:color w:val="000000"/>
        </w:rPr>
        <w:t>“</w:t>
      </w:r>
      <w:r>
        <w:rPr>
          <w:rFonts w:hint="eastAsia" w:ascii="仿宋" w:hAnsi="仿宋" w:cs="仿宋"/>
          <w:color w:val="000000"/>
        </w:rPr>
        <w:t>十二五</w:t>
      </w:r>
      <w:r>
        <w:rPr>
          <w:rFonts w:hint="eastAsia" w:ascii="仿宋" w:cs="仿宋"/>
          <w:color w:val="000000"/>
        </w:rPr>
        <w:t>”</w:t>
      </w:r>
      <w:r>
        <w:rPr>
          <w:rFonts w:hint="eastAsia" w:ascii="仿宋" w:hAnsi="仿宋" w:cs="仿宋"/>
          <w:color w:val="000000"/>
        </w:rPr>
        <w:t>期间，矿业总产值为</w:t>
      </w:r>
      <w:r>
        <w:rPr>
          <w:rFonts w:ascii="仿宋" w:hAnsi="仿宋" w:cs="仿宋"/>
          <w:color w:val="000000"/>
        </w:rPr>
        <w:t>1.57</w:t>
      </w:r>
      <w:r>
        <w:rPr>
          <w:rFonts w:hint="eastAsia" w:ascii="仿宋" w:hAnsi="仿宋" w:cs="仿宋"/>
          <w:color w:val="000000"/>
        </w:rPr>
        <w:t>亿，占全区生产总值的</w:t>
      </w:r>
      <w:r>
        <w:rPr>
          <w:rFonts w:ascii="仿宋" w:hAnsi="仿宋" w:cs="仿宋"/>
          <w:color w:val="000000"/>
        </w:rPr>
        <w:t>4.91%</w:t>
      </w:r>
      <w:r>
        <w:rPr>
          <w:rFonts w:hint="eastAsia" w:ascii="仿宋" w:hAnsi="仿宋" w:cs="仿宋"/>
          <w:color w:val="000000"/>
        </w:rPr>
        <w:t>。</w:t>
      </w:r>
      <w:r>
        <w:rPr>
          <w:rFonts w:ascii="仿宋" w:hAnsi="仿宋" w:cs="仿宋"/>
        </w:rPr>
        <w:t>2015</w:t>
      </w:r>
      <w:r>
        <w:rPr>
          <w:rFonts w:hint="eastAsia" w:ascii="仿宋" w:hAnsi="仿宋" w:cs="仿宋"/>
        </w:rPr>
        <w:t>年，煤矿年产量为</w:t>
      </w:r>
      <w:r>
        <w:rPr>
          <w:rFonts w:ascii="仿宋" w:hAnsi="仿宋" w:cs="仿宋"/>
        </w:rPr>
        <w:t>70.30</w:t>
      </w:r>
      <w:r>
        <w:rPr>
          <w:rFonts w:hint="eastAsia" w:ascii="仿宋" w:hAnsi="仿宋" w:cs="仿宋"/>
        </w:rPr>
        <w:t>万吨，铁矿年产量为</w:t>
      </w:r>
      <w:r>
        <w:rPr>
          <w:rFonts w:ascii="仿宋" w:hAnsi="仿宋" w:cs="仿宋"/>
        </w:rPr>
        <w:t>68.55</w:t>
      </w:r>
      <w:r>
        <w:rPr>
          <w:rFonts w:hint="eastAsia" w:ascii="仿宋" w:hAnsi="仿宋" w:cs="仿宋"/>
        </w:rPr>
        <w:t>万吨，水泥用灰岩年产量为</w:t>
      </w:r>
      <w:r>
        <w:rPr>
          <w:rFonts w:ascii="仿宋" w:hAnsi="仿宋" w:cs="仿宋"/>
        </w:rPr>
        <w:t>15</w:t>
      </w:r>
      <w:r>
        <w:rPr>
          <w:rFonts w:hint="eastAsia" w:ascii="仿宋" w:hAnsi="仿宋" w:cs="仿宋"/>
        </w:rPr>
        <w:t>万吨，受矿业经济影响，产量较</w:t>
      </w:r>
      <w:r>
        <w:rPr>
          <w:rFonts w:ascii="仿宋" w:hAnsi="仿宋" w:cs="仿宋"/>
        </w:rPr>
        <w:t>2011</w:t>
      </w:r>
      <w:r>
        <w:rPr>
          <w:rFonts w:hint="eastAsia" w:ascii="仿宋" w:hAnsi="仿宋" w:cs="仿宋"/>
        </w:rPr>
        <w:t>年有所下降。</w:t>
      </w:r>
    </w:p>
    <w:p>
      <w:pPr>
        <w:ind w:firstLine="643"/>
        <w:rPr>
          <w:rFonts w:ascii="仿宋"/>
        </w:rPr>
      </w:pPr>
      <w:r>
        <w:rPr>
          <w:rFonts w:hint="eastAsia" w:ascii="仿宋" w:hAnsi="仿宋" w:cs="仿宋"/>
          <w:b/>
          <w:bCs/>
        </w:rPr>
        <w:t>基础地质调查程度得到提升。</w:t>
      </w:r>
      <w:r>
        <w:rPr>
          <w:rFonts w:ascii="仿宋" w:hAnsi="仿宋" w:cs="仿宋"/>
        </w:rPr>
        <w:t>2011</w:t>
      </w:r>
      <w:r>
        <w:rPr>
          <w:rFonts w:hint="eastAsia" w:ascii="仿宋" w:hAnsi="仿宋" w:cs="仿宋"/>
        </w:rPr>
        <w:t>年</w:t>
      </w:r>
      <w:r>
        <w:rPr>
          <w:rFonts w:ascii="仿宋" w:hAnsi="仿宋" w:cs="仿宋"/>
        </w:rPr>
        <w:t>-2015</w:t>
      </w:r>
      <w:r>
        <w:rPr>
          <w:rFonts w:hint="eastAsia" w:ascii="仿宋" w:hAnsi="仿宋" w:cs="仿宋"/>
        </w:rPr>
        <w:t>年间，承德市鹰手营子矿区围绕资源开发、环境保护、城市建设、重大工程建设面临的问题，地方财政投入</w:t>
      </w:r>
      <w:r>
        <w:rPr>
          <w:rFonts w:ascii="仿宋" w:hAnsi="仿宋" w:cs="仿宋"/>
        </w:rPr>
        <w:t>400</w:t>
      </w:r>
      <w:r>
        <w:rPr>
          <w:rFonts w:hint="eastAsia" w:ascii="仿宋" w:hAnsi="仿宋" w:cs="仿宋"/>
        </w:rPr>
        <w:t>万元，开展了</w:t>
      </w:r>
      <w:r>
        <w:rPr>
          <w:rFonts w:ascii="仿宋" w:hAnsi="仿宋" w:cs="仿宋"/>
        </w:rPr>
        <w:t>1</w:t>
      </w:r>
      <w:r>
        <w:rPr>
          <w:rFonts w:hint="eastAsia" w:ascii="仿宋" w:hAnsi="仿宋" w:cs="仿宋"/>
        </w:rPr>
        <w:t>：</w:t>
      </w:r>
      <w:r>
        <w:rPr>
          <w:rFonts w:ascii="仿宋" w:hAnsi="仿宋" w:cs="仿宋"/>
        </w:rPr>
        <w:t>5</w:t>
      </w:r>
      <w:r>
        <w:rPr>
          <w:rFonts w:hint="eastAsia" w:ascii="仿宋" w:hAnsi="仿宋" w:cs="仿宋"/>
        </w:rPr>
        <w:t>万承德寿王坟</w:t>
      </w:r>
      <w:r>
        <w:rPr>
          <w:rFonts w:ascii="仿宋" w:cs="仿宋"/>
        </w:rPr>
        <w:t>-</w:t>
      </w:r>
      <w:r>
        <w:rPr>
          <w:rFonts w:hint="eastAsia" w:ascii="仿宋" w:hAnsi="仿宋" w:cs="仿宋"/>
        </w:rPr>
        <w:t>平泉小寺沟一带水系沉积物测量，使基础地质调查研究程度得到了提升。</w:t>
      </w:r>
    </w:p>
    <w:p>
      <w:pPr>
        <w:ind w:firstLine="643"/>
        <w:rPr>
          <w:rFonts w:ascii="仿宋"/>
        </w:rPr>
      </w:pPr>
      <w:r>
        <w:rPr>
          <w:rFonts w:hint="eastAsia" w:ascii="仿宋" w:hAnsi="仿宋" w:cs="仿宋"/>
          <w:b/>
          <w:bCs/>
        </w:rPr>
        <w:t>地质勘查工作得到加强</w:t>
      </w:r>
      <w:r>
        <w:rPr>
          <w:rFonts w:hint="eastAsia" w:ascii="仿宋" w:hAnsi="仿宋" w:cs="仿宋"/>
        </w:rPr>
        <w:t>。</w:t>
      </w:r>
      <w:r>
        <w:rPr>
          <w:rFonts w:ascii="仿宋" w:hAnsi="仿宋" w:cs="仿宋"/>
        </w:rPr>
        <w:t>2011</w:t>
      </w:r>
      <w:r>
        <w:rPr>
          <w:rFonts w:hint="eastAsia" w:ascii="仿宋" w:hAnsi="仿宋" w:cs="仿宋"/>
        </w:rPr>
        <w:t>年</w:t>
      </w:r>
      <w:r>
        <w:rPr>
          <w:rFonts w:ascii="仿宋" w:hAnsi="仿宋" w:cs="仿宋"/>
        </w:rPr>
        <w:t>-2015</w:t>
      </w:r>
      <w:r>
        <w:rPr>
          <w:rFonts w:hint="eastAsia" w:ascii="仿宋" w:hAnsi="仿宋" w:cs="仿宋"/>
        </w:rPr>
        <w:t>年间，主要完成了营子煤矿深部区煤炭资源勘查等工作</w:t>
      </w:r>
      <w:r>
        <w:rPr>
          <w:rFonts w:hint="eastAsia" w:ascii="仿宋" w:hAnsi="仿宋" w:cs="仿宋"/>
          <w:kern w:val="0"/>
        </w:rPr>
        <w:t>，主要是解决</w:t>
      </w:r>
      <w:r>
        <w:rPr>
          <w:rFonts w:hint="eastAsia" w:ascii="仿宋" w:hAnsi="仿宋" w:cs="仿宋"/>
        </w:rPr>
        <w:t>矿山后备资源和寻找新资源问题，但成果不显著。</w:t>
      </w:r>
    </w:p>
    <w:p>
      <w:pPr>
        <w:ind w:firstLine="643"/>
        <w:rPr>
          <w:rFonts w:ascii="仿宋"/>
        </w:rPr>
      </w:pPr>
      <w:r>
        <w:rPr>
          <w:rFonts w:hint="eastAsia" w:ascii="仿宋" w:hAnsi="仿宋" w:cs="仿宋"/>
          <w:b/>
          <w:bCs/>
        </w:rPr>
        <w:t>矿山开发布局不断优化，规模结构不断调整。</w:t>
      </w:r>
      <w:r>
        <w:rPr>
          <w:rFonts w:hint="eastAsia" w:ascii="仿宋" w:hAnsi="仿宋" w:cs="仿宋"/>
        </w:rPr>
        <w:t>矿山企业总数由二轮规划基期的</w:t>
      </w:r>
      <w:r>
        <w:rPr>
          <w:rFonts w:ascii="仿宋" w:hAnsi="仿宋" w:cs="仿宋"/>
        </w:rPr>
        <w:t>42</w:t>
      </w:r>
      <w:r>
        <w:rPr>
          <w:rFonts w:hint="eastAsia" w:ascii="仿宋" w:hAnsi="仿宋" w:cs="仿宋"/>
        </w:rPr>
        <w:t>个降至</w:t>
      </w:r>
      <w:r>
        <w:rPr>
          <w:rFonts w:ascii="仿宋" w:hAnsi="仿宋" w:cs="仿宋"/>
        </w:rPr>
        <w:t>13</w:t>
      </w:r>
      <w:r>
        <w:rPr>
          <w:rFonts w:hint="eastAsia" w:ascii="仿宋" w:hAnsi="仿宋" w:cs="仿宋"/>
        </w:rPr>
        <w:t>个，减少</w:t>
      </w:r>
      <w:r>
        <w:rPr>
          <w:rFonts w:ascii="仿宋" w:hAnsi="仿宋" w:cs="仿宋"/>
        </w:rPr>
        <w:t>69.1%</w:t>
      </w:r>
      <w:r>
        <w:rPr>
          <w:rFonts w:hint="eastAsia" w:ascii="仿宋" w:hAnsi="仿宋" w:cs="仿宋"/>
        </w:rPr>
        <w:t>，在</w:t>
      </w:r>
      <w:r>
        <w:rPr>
          <w:rFonts w:ascii="仿宋" w:hAnsi="仿宋" w:cs="仿宋"/>
        </w:rPr>
        <w:t>13</w:t>
      </w:r>
      <w:r>
        <w:rPr>
          <w:rFonts w:hint="eastAsia" w:ascii="仿宋" w:hAnsi="仿宋" w:cs="仿宋"/>
        </w:rPr>
        <w:t>个矿山中，中型矿山</w:t>
      </w:r>
      <w:r>
        <w:rPr>
          <w:rFonts w:ascii="仿宋" w:hAnsi="仿宋" w:cs="仿宋"/>
        </w:rPr>
        <w:t>1</w:t>
      </w:r>
      <w:r>
        <w:rPr>
          <w:rFonts w:hint="eastAsia" w:ascii="仿宋" w:hAnsi="仿宋" w:cs="仿宋"/>
        </w:rPr>
        <w:t>家，仅占</w:t>
      </w:r>
      <w:r>
        <w:rPr>
          <w:rFonts w:ascii="仿宋" w:hAnsi="仿宋" w:cs="仿宋"/>
        </w:rPr>
        <w:t>8%</w:t>
      </w:r>
      <w:r>
        <w:rPr>
          <w:rFonts w:hint="eastAsia" w:ascii="仿宋" w:hAnsi="仿宋" w:cs="仿宋"/>
        </w:rPr>
        <w:t>，小型矿山</w:t>
      </w:r>
      <w:r>
        <w:rPr>
          <w:rFonts w:ascii="仿宋" w:hAnsi="仿宋" w:cs="仿宋"/>
        </w:rPr>
        <w:t>12</w:t>
      </w:r>
      <w:r>
        <w:rPr>
          <w:rFonts w:hint="eastAsia" w:ascii="仿宋" w:hAnsi="仿宋" w:cs="仿宋"/>
        </w:rPr>
        <w:t>家，占</w:t>
      </w:r>
      <w:r>
        <w:rPr>
          <w:rFonts w:ascii="仿宋" w:hAnsi="仿宋" w:cs="仿宋"/>
        </w:rPr>
        <w:t>92%</w:t>
      </w:r>
      <w:r>
        <w:rPr>
          <w:rFonts w:hint="eastAsia" w:ascii="仿宋" w:hAnsi="仿宋" w:cs="仿宋"/>
        </w:rPr>
        <w:t>。鼓励矿山企业进行了资源整合，初步实现了集约化经营、规模化开采。</w:t>
      </w:r>
    </w:p>
    <w:p>
      <w:pPr>
        <w:ind w:firstLine="643"/>
        <w:rPr>
          <w:rFonts w:ascii="仿宋"/>
        </w:rPr>
      </w:pPr>
      <w:r>
        <w:rPr>
          <w:rFonts w:hint="eastAsia" w:ascii="仿宋" w:hAnsi="仿宋" w:cs="仿宋"/>
          <w:b/>
          <w:bCs/>
        </w:rPr>
        <w:t>矿产资源综合利用水平明显提高。</w:t>
      </w:r>
      <w:r>
        <w:rPr>
          <w:rFonts w:hint="eastAsia" w:ascii="仿宋" w:hAnsi="仿宋" w:cs="仿宋"/>
        </w:rPr>
        <w:t>铜、多金属矿采矿回采率全部在</w:t>
      </w:r>
      <w:r>
        <w:rPr>
          <w:rFonts w:ascii="仿宋" w:hAnsi="仿宋" w:cs="仿宋"/>
        </w:rPr>
        <w:t>85%</w:t>
      </w:r>
      <w:r>
        <w:rPr>
          <w:rFonts w:hint="eastAsia" w:ascii="仿宋" w:hAnsi="仿宋" w:cs="仿宋"/>
        </w:rPr>
        <w:t>以上，完成了上轮规划目标；建材及其它非金属矿山采矿回采率在</w:t>
      </w:r>
      <w:r>
        <w:rPr>
          <w:rFonts w:ascii="仿宋" w:hAnsi="仿宋" w:cs="仿宋"/>
        </w:rPr>
        <w:t>95%</w:t>
      </w:r>
      <w:r>
        <w:rPr>
          <w:rFonts w:hint="eastAsia" w:ascii="仿宋" w:hAnsi="仿宋" w:cs="仿宋"/>
        </w:rPr>
        <w:t>以上，基本完成规划目标。</w:t>
      </w:r>
    </w:p>
    <w:p>
      <w:pPr>
        <w:ind w:firstLine="643"/>
        <w:rPr>
          <w:rFonts w:ascii="仿宋"/>
        </w:rPr>
      </w:pPr>
      <w:r>
        <w:rPr>
          <w:rFonts w:hint="eastAsia" w:ascii="仿宋" w:hAnsi="仿宋" w:cs="仿宋"/>
          <w:b/>
          <w:bCs/>
        </w:rPr>
        <w:t>矿山地质环境保护与治理恢复工作取得进展。</w:t>
      </w:r>
      <w:r>
        <w:rPr>
          <w:rFonts w:hint="eastAsia" w:ascii="仿宋" w:hAnsi="仿宋" w:cs="仿宋"/>
        </w:rPr>
        <w:t>极大地提高了人们对于矿山环境保护的意识，矿山环境治理恢复工作也得到重视。加强开采矿山的保护，边开采边复垦还绿。新建矿山及生产矿山地质环境治理恢复率为</w:t>
      </w:r>
      <w:r>
        <w:rPr>
          <w:rFonts w:ascii="仿宋" w:hAnsi="仿宋" w:cs="仿宋"/>
        </w:rPr>
        <w:t>100%</w:t>
      </w:r>
      <w:r>
        <w:rPr>
          <w:rFonts w:hint="eastAsia" w:ascii="仿宋" w:hAnsi="仿宋" w:cs="仿宋"/>
        </w:rPr>
        <w:t>，历史遗留矿山地质环境治理恢复率为</w:t>
      </w:r>
      <w:r>
        <w:rPr>
          <w:rFonts w:ascii="仿宋" w:hAnsi="仿宋" w:cs="仿宋"/>
        </w:rPr>
        <w:t>40%</w:t>
      </w:r>
      <w:r>
        <w:rPr>
          <w:rFonts w:hint="eastAsia" w:ascii="仿宋" w:hAnsi="仿宋" w:cs="仿宋"/>
        </w:rPr>
        <w:t>。</w:t>
      </w:r>
    </w:p>
    <w:tbl>
      <w:tblPr>
        <w:tblStyle w:val="24"/>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7"/>
        <w:gridCol w:w="1032"/>
        <w:gridCol w:w="2096"/>
        <w:gridCol w:w="1016"/>
        <w:gridCol w:w="1156"/>
        <w:gridCol w:w="118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tblHeader/>
          <w:jc w:val="center"/>
        </w:trPr>
        <w:tc>
          <w:tcPr>
            <w:tcW w:w="8392" w:type="dxa"/>
            <w:gridSpan w:val="7"/>
            <w:shd w:val="clear" w:color="auto" w:fill="auto"/>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专栏</w:t>
            </w:r>
            <w:r>
              <w:rPr>
                <w:rFonts w:ascii="仿宋" w:hAnsi="仿宋" w:eastAsia="仿宋" w:cs="仿宋"/>
                <w:b/>
                <w:bCs/>
              </w:rPr>
              <w:t xml:space="preserve">1  </w:t>
            </w:r>
            <w:r>
              <w:rPr>
                <w:rFonts w:hint="eastAsia" w:ascii="仿宋" w:hAnsi="仿宋" w:eastAsia="仿宋" w:cs="仿宋"/>
                <w:b/>
                <w:bCs/>
              </w:rPr>
              <w:t>第二轮矿产资源规划主要指标完成情况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exact"/>
          <w:tblHeader/>
          <w:jc w:val="center"/>
        </w:trPr>
        <w:tc>
          <w:tcPr>
            <w:tcW w:w="1107" w:type="dxa"/>
            <w:shd w:val="clear" w:color="auto" w:fill="auto"/>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类别</w:t>
            </w:r>
          </w:p>
        </w:tc>
        <w:tc>
          <w:tcPr>
            <w:tcW w:w="3128" w:type="dxa"/>
            <w:gridSpan w:val="2"/>
            <w:shd w:val="clear" w:color="auto" w:fill="auto"/>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指标</w:t>
            </w:r>
          </w:p>
        </w:tc>
        <w:tc>
          <w:tcPr>
            <w:tcW w:w="1016" w:type="dxa"/>
            <w:shd w:val="clear" w:color="auto" w:fill="auto"/>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单位</w:t>
            </w:r>
          </w:p>
        </w:tc>
        <w:tc>
          <w:tcPr>
            <w:tcW w:w="1156" w:type="dxa"/>
            <w:shd w:val="clear" w:color="auto" w:fill="auto"/>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预期目标</w:t>
            </w:r>
          </w:p>
        </w:tc>
        <w:tc>
          <w:tcPr>
            <w:tcW w:w="1181" w:type="dxa"/>
            <w:shd w:val="clear" w:color="auto" w:fill="auto"/>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期末完成</w:t>
            </w:r>
          </w:p>
        </w:tc>
        <w:tc>
          <w:tcPr>
            <w:tcW w:w="804" w:type="dxa"/>
            <w:shd w:val="clear" w:color="auto" w:fill="auto"/>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exact"/>
          <w:jc w:val="center"/>
        </w:trPr>
        <w:tc>
          <w:tcPr>
            <w:tcW w:w="1107" w:type="dxa"/>
            <w:shd w:val="clear" w:color="auto" w:fill="auto"/>
            <w:vAlign w:val="center"/>
          </w:tcPr>
          <w:p>
            <w:pPr>
              <w:pStyle w:val="61"/>
              <w:spacing w:afterLines="0" w:line="260" w:lineRule="exact"/>
              <w:jc w:val="both"/>
              <w:rPr>
                <w:rFonts w:ascii="仿宋" w:hAnsi="仿宋" w:eastAsia="仿宋" w:cs="Times New Roman"/>
              </w:rPr>
            </w:pPr>
            <w:r>
              <w:rPr>
                <w:rFonts w:hint="eastAsia" w:ascii="仿宋" w:hAnsi="仿宋" w:eastAsia="仿宋" w:cs="仿宋"/>
              </w:rPr>
              <w:t>基础性地质调查</w:t>
            </w:r>
          </w:p>
        </w:tc>
        <w:tc>
          <w:tcPr>
            <w:tcW w:w="3128" w:type="dxa"/>
            <w:gridSpan w:val="2"/>
            <w:shd w:val="clear" w:color="auto" w:fill="auto"/>
            <w:tcMar>
              <w:left w:w="0" w:type="dxa"/>
              <w:right w:w="0" w:type="dxa"/>
            </w:tcMar>
            <w:vAlign w:val="center"/>
          </w:tcPr>
          <w:p>
            <w:pPr>
              <w:widowControl/>
              <w:ind w:firstLine="0" w:firstLineChars="0"/>
              <w:rPr>
                <w:rFonts w:ascii="仿宋"/>
                <w:sz w:val="21"/>
                <w:szCs w:val="21"/>
              </w:rPr>
            </w:pPr>
            <w:r>
              <w:rPr>
                <w:rFonts w:ascii="仿宋" w:hAnsi="仿宋" w:cs="仿宋"/>
                <w:sz w:val="21"/>
                <w:szCs w:val="21"/>
              </w:rPr>
              <w:t>1</w:t>
            </w:r>
            <w:r>
              <w:rPr>
                <w:rFonts w:hint="eastAsia" w:ascii="仿宋" w:hAnsi="仿宋" w:cs="仿宋"/>
                <w:sz w:val="21"/>
                <w:szCs w:val="21"/>
              </w:rPr>
              <w:t>∶</w:t>
            </w:r>
            <w:r>
              <w:rPr>
                <w:rFonts w:ascii="仿宋" w:hAnsi="仿宋" w:cs="仿宋"/>
                <w:sz w:val="21"/>
                <w:szCs w:val="21"/>
              </w:rPr>
              <w:t>5</w:t>
            </w:r>
            <w:r>
              <w:rPr>
                <w:rFonts w:hint="eastAsia" w:ascii="仿宋" w:hAnsi="仿宋" w:cs="仿宋"/>
                <w:sz w:val="21"/>
                <w:szCs w:val="21"/>
              </w:rPr>
              <w:t>万水系沉积物地球化学测量</w:t>
            </w:r>
          </w:p>
        </w:tc>
        <w:tc>
          <w:tcPr>
            <w:tcW w:w="1016" w:type="dxa"/>
            <w:shd w:val="clear" w:color="auto" w:fill="auto"/>
            <w:tcMar>
              <w:left w:w="28" w:type="dxa"/>
              <w:right w:w="28" w:type="dxa"/>
            </w:tcMar>
            <w:vAlign w:val="center"/>
          </w:tcPr>
          <w:p>
            <w:pPr>
              <w:widowControl/>
              <w:spacing w:after="120" w:line="340" w:lineRule="exact"/>
              <w:ind w:firstLine="0" w:firstLineChars="0"/>
              <w:jc w:val="center"/>
              <w:rPr>
                <w:rFonts w:ascii="仿宋"/>
                <w:sz w:val="21"/>
                <w:szCs w:val="21"/>
              </w:rPr>
            </w:pPr>
            <w:r>
              <w:rPr>
                <w:rFonts w:ascii="仿宋" w:hAnsi="仿宋" w:cs="仿宋"/>
                <w:sz w:val="21"/>
                <w:szCs w:val="21"/>
              </w:rPr>
              <w:t>km</w:t>
            </w:r>
            <w:r>
              <w:rPr>
                <w:rFonts w:ascii="仿宋" w:hAnsi="仿宋" w:cs="仿宋"/>
                <w:sz w:val="21"/>
                <w:szCs w:val="21"/>
                <w:vertAlign w:val="superscript"/>
              </w:rPr>
              <w:t>2</w:t>
            </w:r>
          </w:p>
        </w:tc>
        <w:tc>
          <w:tcPr>
            <w:tcW w:w="1156" w:type="dxa"/>
            <w:shd w:val="clear" w:color="auto" w:fill="auto"/>
            <w:vAlign w:val="center"/>
          </w:tcPr>
          <w:p>
            <w:pPr>
              <w:ind w:firstLine="0" w:firstLineChars="0"/>
              <w:jc w:val="center"/>
              <w:rPr>
                <w:rFonts w:ascii="仿宋" w:hAnsi="仿宋" w:cs="仿宋"/>
                <w:sz w:val="21"/>
                <w:szCs w:val="21"/>
              </w:rPr>
            </w:pPr>
            <w:r>
              <w:rPr>
                <w:rFonts w:ascii="仿宋" w:hAnsi="仿宋" w:cs="仿宋"/>
                <w:sz w:val="21"/>
                <w:szCs w:val="21"/>
              </w:rPr>
              <w:t>254.88</w:t>
            </w:r>
          </w:p>
        </w:tc>
        <w:tc>
          <w:tcPr>
            <w:tcW w:w="1181" w:type="dxa"/>
            <w:shd w:val="clear" w:color="auto" w:fill="auto"/>
            <w:vAlign w:val="center"/>
          </w:tcPr>
          <w:p>
            <w:pPr>
              <w:ind w:firstLine="0" w:firstLineChars="0"/>
              <w:jc w:val="center"/>
              <w:rPr>
                <w:rFonts w:ascii="仿宋" w:hAnsi="仿宋" w:cs="仿宋"/>
                <w:sz w:val="21"/>
                <w:szCs w:val="21"/>
              </w:rPr>
            </w:pPr>
            <w:r>
              <w:rPr>
                <w:rFonts w:ascii="仿宋" w:hAnsi="仿宋" w:cs="仿宋"/>
                <w:sz w:val="21"/>
                <w:szCs w:val="21"/>
              </w:rPr>
              <w:t>2930</w:t>
            </w:r>
          </w:p>
        </w:tc>
        <w:tc>
          <w:tcPr>
            <w:tcW w:w="804" w:type="dxa"/>
            <w:shd w:val="clear" w:color="auto" w:fill="auto"/>
            <w:vAlign w:val="center"/>
          </w:tcPr>
          <w:p>
            <w:pPr>
              <w:spacing w:line="300" w:lineRule="exact"/>
              <w:ind w:firstLine="0" w:firstLineChars="0"/>
              <w:jc w:val="center"/>
              <w:rPr>
                <w:rFonts w:ascii="仿宋"/>
                <w:sz w:val="21"/>
                <w:szCs w:val="21"/>
              </w:rPr>
            </w:pPr>
            <w:r>
              <w:rPr>
                <w:rFonts w:hint="eastAsia" w:ascii="仿宋" w:hAnsi="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restart"/>
            <w:shd w:val="clear" w:color="auto" w:fill="auto"/>
            <w:vAlign w:val="center"/>
          </w:tcPr>
          <w:p>
            <w:pPr>
              <w:spacing w:line="260" w:lineRule="exact"/>
              <w:ind w:firstLine="0" w:firstLineChars="0"/>
              <w:rPr>
                <w:rFonts w:ascii="仿宋"/>
                <w:sz w:val="21"/>
                <w:szCs w:val="21"/>
              </w:rPr>
            </w:pPr>
            <w:r>
              <w:rPr>
                <w:rFonts w:hint="eastAsia" w:ascii="仿宋" w:hAnsi="仿宋" w:cs="仿宋"/>
                <w:sz w:val="21"/>
                <w:szCs w:val="21"/>
              </w:rPr>
              <w:t>矿产勘查</w:t>
            </w:r>
          </w:p>
        </w:tc>
        <w:tc>
          <w:tcPr>
            <w:tcW w:w="3128" w:type="dxa"/>
            <w:gridSpan w:val="2"/>
            <w:shd w:val="clear" w:color="auto" w:fill="auto"/>
            <w:tcMar>
              <w:left w:w="0" w:type="dxa"/>
              <w:right w:w="0" w:type="dxa"/>
            </w:tcMar>
            <w:vAlign w:val="center"/>
          </w:tcPr>
          <w:p>
            <w:pPr>
              <w:ind w:firstLine="0" w:firstLineChars="0"/>
              <w:jc w:val="center"/>
              <w:rPr>
                <w:rFonts w:ascii="仿宋"/>
                <w:sz w:val="21"/>
                <w:szCs w:val="21"/>
              </w:rPr>
            </w:pPr>
            <w:r>
              <w:rPr>
                <w:rFonts w:hint="eastAsia" w:ascii="仿宋" w:hAnsi="仿宋" w:cs="仿宋"/>
                <w:sz w:val="21"/>
                <w:szCs w:val="21"/>
              </w:rPr>
              <w:t>提交可供进一步勘查的后备产地</w:t>
            </w:r>
          </w:p>
        </w:tc>
        <w:tc>
          <w:tcPr>
            <w:tcW w:w="1016" w:type="dxa"/>
            <w:shd w:val="clear" w:color="auto" w:fill="auto"/>
            <w:tcMar>
              <w:left w:w="28" w:type="dxa"/>
              <w:right w:w="28" w:type="dxa"/>
            </w:tcMar>
            <w:vAlign w:val="center"/>
          </w:tcPr>
          <w:p>
            <w:pPr>
              <w:ind w:firstLine="0" w:firstLineChars="0"/>
              <w:jc w:val="center"/>
              <w:rPr>
                <w:rFonts w:ascii="仿宋"/>
                <w:sz w:val="21"/>
                <w:szCs w:val="21"/>
              </w:rPr>
            </w:pPr>
            <w:r>
              <w:rPr>
                <w:rFonts w:hint="eastAsia" w:ascii="仿宋" w:hAnsi="仿宋" w:cs="仿宋"/>
                <w:sz w:val="21"/>
                <w:szCs w:val="21"/>
              </w:rPr>
              <w:t>处</w:t>
            </w:r>
          </w:p>
        </w:tc>
        <w:tc>
          <w:tcPr>
            <w:tcW w:w="1156" w:type="dxa"/>
            <w:shd w:val="clear" w:color="auto" w:fill="auto"/>
            <w:vAlign w:val="center"/>
          </w:tcPr>
          <w:p>
            <w:pPr>
              <w:ind w:firstLine="0" w:firstLineChars="0"/>
              <w:jc w:val="center"/>
              <w:rPr>
                <w:rFonts w:ascii="仿宋" w:hAnsi="仿宋" w:cs="仿宋"/>
                <w:sz w:val="21"/>
                <w:szCs w:val="21"/>
              </w:rPr>
            </w:pPr>
            <w:r>
              <w:rPr>
                <w:rFonts w:ascii="仿宋" w:hAnsi="仿宋" w:cs="仿宋"/>
                <w:sz w:val="21"/>
                <w:szCs w:val="21"/>
              </w:rPr>
              <w:t>1</w:t>
            </w:r>
          </w:p>
        </w:tc>
        <w:tc>
          <w:tcPr>
            <w:tcW w:w="1181" w:type="dxa"/>
            <w:shd w:val="clear" w:color="auto" w:fill="auto"/>
            <w:vAlign w:val="center"/>
          </w:tcPr>
          <w:p>
            <w:pPr>
              <w:ind w:firstLine="0" w:firstLineChars="0"/>
              <w:jc w:val="center"/>
              <w:rPr>
                <w:rFonts w:ascii="仿宋" w:cs="仿宋"/>
                <w:sz w:val="21"/>
                <w:szCs w:val="21"/>
              </w:rPr>
            </w:pPr>
            <w:r>
              <w:rPr>
                <w:rFonts w:ascii="仿宋" w:cs="仿宋"/>
                <w:sz w:val="21"/>
                <w:szCs w:val="21"/>
              </w:rPr>
              <w:t>0</w:t>
            </w:r>
          </w:p>
        </w:tc>
        <w:tc>
          <w:tcPr>
            <w:tcW w:w="804" w:type="dxa"/>
            <w:vMerge w:val="restart"/>
            <w:shd w:val="clear" w:color="auto" w:fill="auto"/>
            <w:vAlign w:val="center"/>
          </w:tcPr>
          <w:p>
            <w:pPr>
              <w:spacing w:after="120"/>
              <w:ind w:firstLine="0" w:firstLineChars="0"/>
              <w:jc w:val="center"/>
              <w:rPr>
                <w:rFonts w:ascii="仿宋"/>
                <w:sz w:val="21"/>
                <w:szCs w:val="21"/>
              </w:rPr>
            </w:pPr>
            <w:r>
              <w:rPr>
                <w:rFonts w:hint="eastAsia" w:ascii="仿宋" w:hAnsi="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spacing w:line="260" w:lineRule="exact"/>
              <w:ind w:firstLine="0" w:firstLineChars="0"/>
              <w:rPr>
                <w:rFonts w:ascii="仿宋"/>
                <w:sz w:val="21"/>
                <w:szCs w:val="21"/>
              </w:rPr>
            </w:pPr>
          </w:p>
        </w:tc>
        <w:tc>
          <w:tcPr>
            <w:tcW w:w="1032" w:type="dxa"/>
            <w:vMerge w:val="restart"/>
            <w:shd w:val="clear" w:color="auto" w:fill="auto"/>
            <w:vAlign w:val="center"/>
          </w:tcPr>
          <w:p>
            <w:pPr>
              <w:ind w:firstLine="0" w:firstLineChars="0"/>
              <w:rPr>
                <w:rFonts w:ascii="仿宋"/>
                <w:sz w:val="21"/>
                <w:szCs w:val="21"/>
              </w:rPr>
            </w:pPr>
            <w:r>
              <w:rPr>
                <w:rFonts w:hint="eastAsia" w:ascii="仿宋" w:hAnsi="仿宋" w:cs="仿宋"/>
                <w:sz w:val="21"/>
                <w:szCs w:val="21"/>
              </w:rPr>
              <w:t>新增资源储量（</w:t>
            </w:r>
            <w:r>
              <w:rPr>
                <w:rFonts w:ascii="仿宋" w:hAnsi="仿宋" w:cs="仿宋"/>
                <w:sz w:val="21"/>
                <w:szCs w:val="21"/>
              </w:rPr>
              <w:t>333</w:t>
            </w:r>
            <w:r>
              <w:rPr>
                <w:rFonts w:hint="eastAsia" w:ascii="仿宋" w:hAnsi="仿宋" w:cs="仿宋"/>
                <w:sz w:val="21"/>
                <w:szCs w:val="21"/>
              </w:rPr>
              <w:t>及以上）</w:t>
            </w:r>
          </w:p>
        </w:tc>
        <w:tc>
          <w:tcPr>
            <w:tcW w:w="2096" w:type="dxa"/>
            <w:shd w:val="clear" w:color="auto" w:fill="auto"/>
            <w:vAlign w:val="center"/>
          </w:tcPr>
          <w:p>
            <w:pPr>
              <w:ind w:firstLine="0" w:firstLineChars="0"/>
              <w:jc w:val="center"/>
              <w:rPr>
                <w:rFonts w:ascii="仿宋"/>
                <w:sz w:val="21"/>
                <w:szCs w:val="21"/>
              </w:rPr>
            </w:pPr>
            <w:r>
              <w:rPr>
                <w:rFonts w:hint="eastAsia" w:ascii="仿宋" w:hAnsi="仿宋" w:cs="仿宋"/>
                <w:sz w:val="21"/>
                <w:szCs w:val="21"/>
              </w:rPr>
              <w:t>煤矿</w:t>
            </w:r>
          </w:p>
        </w:tc>
        <w:tc>
          <w:tcPr>
            <w:tcW w:w="1016" w:type="dxa"/>
            <w:shd w:val="clear" w:color="auto" w:fill="auto"/>
            <w:tcMar>
              <w:left w:w="28" w:type="dxa"/>
              <w:right w:w="28" w:type="dxa"/>
            </w:tcMar>
            <w:vAlign w:val="center"/>
          </w:tcPr>
          <w:p>
            <w:pPr>
              <w:ind w:firstLine="0" w:firstLineChars="0"/>
              <w:jc w:val="center"/>
              <w:rPr>
                <w:rFonts w:ascii="仿宋"/>
                <w:sz w:val="21"/>
                <w:szCs w:val="21"/>
              </w:rPr>
            </w:pPr>
            <w:r>
              <w:rPr>
                <w:rFonts w:hint="eastAsia" w:ascii="仿宋" w:hAnsi="仿宋" w:cs="仿宋"/>
                <w:sz w:val="21"/>
                <w:szCs w:val="21"/>
              </w:rPr>
              <w:t>矿石</w:t>
            </w:r>
            <w:r>
              <w:rPr>
                <w:rFonts w:ascii="仿宋" w:hAnsi="仿宋" w:cs="仿宋"/>
                <w:sz w:val="21"/>
                <w:szCs w:val="21"/>
              </w:rPr>
              <w:t xml:space="preserve"> </w:t>
            </w:r>
            <w:r>
              <w:rPr>
                <w:rFonts w:hint="eastAsia" w:ascii="仿宋" w:hAnsi="仿宋" w:cs="仿宋"/>
                <w:sz w:val="21"/>
                <w:szCs w:val="21"/>
              </w:rPr>
              <w:t>万吨</w:t>
            </w:r>
          </w:p>
        </w:tc>
        <w:tc>
          <w:tcPr>
            <w:tcW w:w="1156" w:type="dxa"/>
            <w:shd w:val="clear" w:color="auto" w:fill="auto"/>
            <w:vAlign w:val="center"/>
          </w:tcPr>
          <w:p>
            <w:pPr>
              <w:ind w:firstLine="0" w:firstLineChars="0"/>
              <w:jc w:val="center"/>
              <w:rPr>
                <w:rFonts w:ascii="仿宋" w:cs="仿宋"/>
                <w:sz w:val="21"/>
                <w:szCs w:val="21"/>
              </w:rPr>
            </w:pPr>
            <w:r>
              <w:rPr>
                <w:rFonts w:ascii="仿宋" w:hAnsi="仿宋" w:cs="仿宋"/>
                <w:sz w:val="21"/>
                <w:szCs w:val="21"/>
              </w:rPr>
              <w:t>3</w:t>
            </w:r>
            <w:r>
              <w:rPr>
                <w:rFonts w:ascii="仿宋" w:cs="仿宋"/>
                <w:sz w:val="21"/>
                <w:szCs w:val="21"/>
              </w:rPr>
              <w:t>0000</w:t>
            </w:r>
          </w:p>
        </w:tc>
        <w:tc>
          <w:tcPr>
            <w:tcW w:w="1181" w:type="dxa"/>
            <w:shd w:val="clear" w:color="auto" w:fill="auto"/>
            <w:vAlign w:val="center"/>
          </w:tcPr>
          <w:p>
            <w:pPr>
              <w:widowControl/>
              <w:ind w:firstLine="0" w:firstLineChars="0"/>
              <w:jc w:val="center"/>
              <w:rPr>
                <w:rFonts w:ascii="仿宋"/>
                <w:sz w:val="21"/>
                <w:szCs w:val="21"/>
              </w:rPr>
            </w:pPr>
            <w:r>
              <w:rPr>
                <w:rFonts w:ascii="仿宋" w:hAnsi="仿宋" w:cs="仿宋"/>
                <w:sz w:val="21"/>
                <w:szCs w:val="21"/>
              </w:rPr>
              <w:t>-2490.56</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spacing w:line="260" w:lineRule="exact"/>
              <w:ind w:firstLine="0" w:firstLineChars="0"/>
              <w:rPr>
                <w:rFonts w:ascii="仿宋"/>
                <w:sz w:val="21"/>
                <w:szCs w:val="21"/>
              </w:rPr>
            </w:pPr>
          </w:p>
        </w:tc>
        <w:tc>
          <w:tcPr>
            <w:tcW w:w="1032" w:type="dxa"/>
            <w:vMerge w:val="continue"/>
            <w:shd w:val="clear" w:color="auto" w:fill="auto"/>
            <w:vAlign w:val="center"/>
          </w:tcPr>
          <w:p>
            <w:pPr>
              <w:ind w:firstLine="0" w:firstLineChars="0"/>
              <w:jc w:val="center"/>
              <w:rPr>
                <w:rFonts w:ascii="仿宋"/>
                <w:sz w:val="21"/>
                <w:szCs w:val="21"/>
              </w:rPr>
            </w:pPr>
          </w:p>
        </w:tc>
        <w:tc>
          <w:tcPr>
            <w:tcW w:w="2096" w:type="dxa"/>
            <w:shd w:val="clear" w:color="auto" w:fill="auto"/>
            <w:vAlign w:val="center"/>
          </w:tcPr>
          <w:p>
            <w:pPr>
              <w:ind w:firstLine="0" w:firstLineChars="0"/>
              <w:jc w:val="center"/>
              <w:rPr>
                <w:rFonts w:ascii="仿宋"/>
                <w:sz w:val="21"/>
                <w:szCs w:val="21"/>
              </w:rPr>
            </w:pPr>
            <w:r>
              <w:rPr>
                <w:rFonts w:hint="eastAsia" w:ascii="仿宋" w:hAnsi="仿宋" w:cs="仿宋"/>
                <w:sz w:val="21"/>
                <w:szCs w:val="21"/>
              </w:rPr>
              <w:t>铜钼矿</w:t>
            </w:r>
          </w:p>
        </w:tc>
        <w:tc>
          <w:tcPr>
            <w:tcW w:w="1016" w:type="dxa"/>
            <w:shd w:val="clear" w:color="auto" w:fill="auto"/>
            <w:tcMar>
              <w:left w:w="28" w:type="dxa"/>
              <w:right w:w="28" w:type="dxa"/>
            </w:tcMar>
            <w:vAlign w:val="center"/>
          </w:tcPr>
          <w:p>
            <w:pPr>
              <w:ind w:firstLine="0" w:firstLineChars="0"/>
              <w:jc w:val="center"/>
              <w:rPr>
                <w:rFonts w:ascii="仿宋"/>
                <w:sz w:val="21"/>
                <w:szCs w:val="21"/>
              </w:rPr>
            </w:pPr>
            <w:r>
              <w:rPr>
                <w:rFonts w:hint="eastAsia" w:ascii="仿宋" w:hAnsi="仿宋" w:cs="仿宋"/>
                <w:sz w:val="21"/>
                <w:szCs w:val="21"/>
              </w:rPr>
              <w:t>铜钼</w:t>
            </w:r>
            <w:r>
              <w:rPr>
                <w:rFonts w:ascii="仿宋" w:hAnsi="仿宋" w:cs="仿宋"/>
                <w:sz w:val="21"/>
                <w:szCs w:val="21"/>
              </w:rPr>
              <w:t xml:space="preserve"> </w:t>
            </w:r>
            <w:r>
              <w:rPr>
                <w:rFonts w:hint="eastAsia" w:ascii="仿宋" w:hAnsi="仿宋" w:cs="仿宋"/>
                <w:sz w:val="21"/>
                <w:szCs w:val="21"/>
              </w:rPr>
              <w:t>千吨</w:t>
            </w:r>
          </w:p>
        </w:tc>
        <w:tc>
          <w:tcPr>
            <w:tcW w:w="1156" w:type="dxa"/>
            <w:shd w:val="clear" w:color="auto" w:fill="auto"/>
            <w:vAlign w:val="center"/>
          </w:tcPr>
          <w:p>
            <w:pPr>
              <w:ind w:firstLine="0" w:firstLineChars="0"/>
              <w:jc w:val="center"/>
              <w:rPr>
                <w:rFonts w:ascii="仿宋" w:cs="仿宋"/>
                <w:sz w:val="21"/>
                <w:szCs w:val="21"/>
              </w:rPr>
            </w:pPr>
            <w:r>
              <w:rPr>
                <w:rFonts w:ascii="仿宋" w:hAnsi="仿宋" w:cs="仿宋"/>
                <w:sz w:val="21"/>
                <w:szCs w:val="21"/>
              </w:rPr>
              <w:t>1</w:t>
            </w:r>
            <w:r>
              <w:rPr>
                <w:rFonts w:ascii="仿宋" w:cs="仿宋"/>
                <w:sz w:val="21"/>
                <w:szCs w:val="21"/>
              </w:rPr>
              <w:t>00</w:t>
            </w:r>
          </w:p>
        </w:tc>
        <w:tc>
          <w:tcPr>
            <w:tcW w:w="1181" w:type="dxa"/>
            <w:shd w:val="clear" w:color="auto" w:fill="auto"/>
            <w:vAlign w:val="center"/>
          </w:tcPr>
          <w:p>
            <w:pPr>
              <w:widowControl/>
              <w:ind w:firstLine="0" w:firstLineChars="0"/>
              <w:jc w:val="center"/>
              <w:rPr>
                <w:rFonts w:ascii="仿宋" w:hAnsi="仿宋" w:cs="仿宋"/>
                <w:sz w:val="21"/>
                <w:szCs w:val="21"/>
              </w:rPr>
            </w:pPr>
            <w:r>
              <w:rPr>
                <w:rFonts w:ascii="仿宋" w:hAnsi="仿宋" w:cs="仿宋"/>
                <w:sz w:val="21"/>
                <w:szCs w:val="21"/>
              </w:rPr>
              <w:t>8.03</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spacing w:line="260" w:lineRule="exact"/>
              <w:ind w:firstLine="0" w:firstLineChars="0"/>
              <w:rPr>
                <w:rFonts w:ascii="仿宋"/>
                <w:sz w:val="21"/>
                <w:szCs w:val="21"/>
              </w:rPr>
            </w:pPr>
          </w:p>
        </w:tc>
        <w:tc>
          <w:tcPr>
            <w:tcW w:w="1032" w:type="dxa"/>
            <w:vMerge w:val="continue"/>
            <w:shd w:val="clear" w:color="auto" w:fill="auto"/>
            <w:vAlign w:val="center"/>
          </w:tcPr>
          <w:p>
            <w:pPr>
              <w:ind w:firstLine="0" w:firstLineChars="0"/>
              <w:jc w:val="center"/>
              <w:rPr>
                <w:rFonts w:ascii="仿宋"/>
                <w:sz w:val="21"/>
                <w:szCs w:val="21"/>
              </w:rPr>
            </w:pPr>
          </w:p>
        </w:tc>
        <w:tc>
          <w:tcPr>
            <w:tcW w:w="2096" w:type="dxa"/>
            <w:shd w:val="clear" w:color="auto" w:fill="auto"/>
            <w:vAlign w:val="center"/>
          </w:tcPr>
          <w:p>
            <w:pPr>
              <w:ind w:firstLine="0" w:firstLineChars="0"/>
              <w:jc w:val="center"/>
              <w:rPr>
                <w:rFonts w:ascii="仿宋"/>
                <w:sz w:val="21"/>
                <w:szCs w:val="21"/>
              </w:rPr>
            </w:pPr>
            <w:r>
              <w:rPr>
                <w:rFonts w:hint="eastAsia" w:ascii="仿宋" w:hAnsi="仿宋" w:cs="仿宋"/>
                <w:sz w:val="21"/>
                <w:szCs w:val="21"/>
              </w:rPr>
              <w:t>水泥灰岩</w:t>
            </w:r>
          </w:p>
        </w:tc>
        <w:tc>
          <w:tcPr>
            <w:tcW w:w="1016" w:type="dxa"/>
            <w:shd w:val="clear" w:color="auto" w:fill="auto"/>
            <w:tcMar>
              <w:left w:w="28" w:type="dxa"/>
              <w:right w:w="28" w:type="dxa"/>
            </w:tcMar>
            <w:vAlign w:val="center"/>
          </w:tcPr>
          <w:p>
            <w:pPr>
              <w:ind w:firstLine="0" w:firstLineChars="0"/>
              <w:jc w:val="center"/>
              <w:rPr>
                <w:rFonts w:ascii="仿宋"/>
                <w:sz w:val="21"/>
                <w:szCs w:val="21"/>
              </w:rPr>
            </w:pPr>
            <w:r>
              <w:rPr>
                <w:rFonts w:hint="eastAsia" w:ascii="仿宋" w:hAnsi="仿宋" w:cs="仿宋"/>
                <w:sz w:val="21"/>
                <w:szCs w:val="21"/>
              </w:rPr>
              <w:t>千吨</w:t>
            </w:r>
          </w:p>
        </w:tc>
        <w:tc>
          <w:tcPr>
            <w:tcW w:w="1156" w:type="dxa"/>
            <w:shd w:val="clear" w:color="auto" w:fill="auto"/>
            <w:vAlign w:val="center"/>
          </w:tcPr>
          <w:p>
            <w:pPr>
              <w:ind w:firstLine="0" w:firstLineChars="0"/>
              <w:jc w:val="center"/>
              <w:rPr>
                <w:rFonts w:ascii="仿宋" w:cs="仿宋"/>
                <w:sz w:val="21"/>
                <w:szCs w:val="21"/>
              </w:rPr>
            </w:pPr>
            <w:r>
              <w:rPr>
                <w:rFonts w:ascii="仿宋" w:hAnsi="仿宋" w:cs="仿宋"/>
                <w:sz w:val="21"/>
                <w:szCs w:val="21"/>
              </w:rPr>
              <w:t>5</w:t>
            </w:r>
            <w:r>
              <w:rPr>
                <w:rFonts w:ascii="仿宋" w:cs="仿宋"/>
                <w:sz w:val="21"/>
                <w:szCs w:val="21"/>
              </w:rPr>
              <w:t>0000</w:t>
            </w:r>
          </w:p>
        </w:tc>
        <w:tc>
          <w:tcPr>
            <w:tcW w:w="1181" w:type="dxa"/>
            <w:shd w:val="clear" w:color="auto" w:fill="auto"/>
            <w:vAlign w:val="center"/>
          </w:tcPr>
          <w:p>
            <w:pPr>
              <w:widowControl/>
              <w:ind w:firstLine="0" w:firstLineChars="0"/>
              <w:jc w:val="center"/>
              <w:rPr>
                <w:rFonts w:ascii="仿宋" w:hAnsi="仿宋" w:cs="仿宋"/>
                <w:sz w:val="21"/>
                <w:szCs w:val="21"/>
              </w:rPr>
            </w:pPr>
            <w:r>
              <w:rPr>
                <w:rFonts w:ascii="仿宋" w:hAnsi="仿宋" w:cs="仿宋"/>
                <w:sz w:val="21"/>
                <w:szCs w:val="21"/>
              </w:rPr>
              <w:t>-521.28</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restart"/>
            <w:shd w:val="clear" w:color="auto" w:fill="auto"/>
            <w:vAlign w:val="center"/>
          </w:tcPr>
          <w:p>
            <w:pPr>
              <w:pStyle w:val="61"/>
              <w:spacing w:afterLines="0" w:line="260" w:lineRule="exact"/>
              <w:jc w:val="both"/>
              <w:rPr>
                <w:rFonts w:ascii="仿宋" w:hAnsi="仿宋" w:eastAsia="仿宋" w:cs="Times New Roman"/>
              </w:rPr>
            </w:pPr>
            <w:r>
              <w:rPr>
                <w:rFonts w:hint="eastAsia" w:ascii="仿宋" w:hAnsi="仿宋" w:eastAsia="仿宋" w:cs="仿宋"/>
              </w:rPr>
              <w:t>矿产资源合理开发利用与保护</w:t>
            </w:r>
          </w:p>
        </w:tc>
        <w:tc>
          <w:tcPr>
            <w:tcW w:w="1032" w:type="dxa"/>
            <w:vMerge w:val="restart"/>
            <w:shd w:val="clear" w:color="auto" w:fill="auto"/>
            <w:vAlign w:val="center"/>
          </w:tcPr>
          <w:p>
            <w:pPr>
              <w:pStyle w:val="61"/>
              <w:spacing w:afterLines="0" w:line="320" w:lineRule="exact"/>
              <w:jc w:val="left"/>
              <w:rPr>
                <w:rFonts w:ascii="仿宋" w:hAnsi="仿宋" w:eastAsia="仿宋" w:cs="Times New Roman"/>
              </w:rPr>
            </w:pPr>
            <w:r>
              <w:rPr>
                <w:rFonts w:hint="eastAsia" w:ascii="仿宋" w:hAnsi="仿宋" w:eastAsia="仿宋" w:cs="仿宋"/>
              </w:rPr>
              <w:t>主要矿种开采总量</w:t>
            </w:r>
          </w:p>
        </w:tc>
        <w:tc>
          <w:tcPr>
            <w:tcW w:w="209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煤炭</w:t>
            </w:r>
          </w:p>
        </w:tc>
        <w:tc>
          <w:tcPr>
            <w:tcW w:w="101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万吨</w:t>
            </w:r>
            <w:r>
              <w:rPr>
                <w:rFonts w:ascii="仿宋" w:hAnsi="仿宋" w:eastAsia="仿宋" w:cs="仿宋"/>
              </w:rPr>
              <w:t>/</w:t>
            </w:r>
            <w:r>
              <w:rPr>
                <w:rFonts w:hint="eastAsia" w:ascii="仿宋" w:hAnsi="仿宋" w:eastAsia="仿宋" w:cs="仿宋"/>
              </w:rPr>
              <w:t>年</w:t>
            </w:r>
          </w:p>
        </w:tc>
        <w:tc>
          <w:tcPr>
            <w:tcW w:w="1156"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120</w:t>
            </w:r>
          </w:p>
        </w:tc>
        <w:tc>
          <w:tcPr>
            <w:tcW w:w="1181"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70.30</w:t>
            </w:r>
          </w:p>
        </w:tc>
        <w:tc>
          <w:tcPr>
            <w:tcW w:w="804" w:type="dxa"/>
            <w:vMerge w:val="restart"/>
            <w:shd w:val="clear" w:color="auto" w:fill="auto"/>
            <w:vAlign w:val="center"/>
          </w:tcPr>
          <w:p>
            <w:pPr>
              <w:ind w:firstLine="0" w:firstLineChars="0"/>
              <w:jc w:val="center"/>
              <w:rPr>
                <w:rFonts w:ascii="仿宋"/>
                <w:sz w:val="21"/>
                <w:szCs w:val="21"/>
              </w:rPr>
            </w:pPr>
            <w:r>
              <w:rPr>
                <w:rFonts w:hint="eastAsia" w:ascii="仿宋" w:hAnsi="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pStyle w:val="61"/>
              <w:spacing w:after="156" w:line="260" w:lineRule="exact"/>
              <w:jc w:val="both"/>
              <w:rPr>
                <w:rFonts w:ascii="仿宋" w:hAnsi="仿宋" w:eastAsia="仿宋" w:cs="Times New Roman"/>
              </w:rPr>
            </w:pPr>
          </w:p>
        </w:tc>
        <w:tc>
          <w:tcPr>
            <w:tcW w:w="1032" w:type="dxa"/>
            <w:vMerge w:val="continue"/>
            <w:shd w:val="clear" w:color="auto" w:fill="auto"/>
            <w:vAlign w:val="center"/>
          </w:tcPr>
          <w:p>
            <w:pPr>
              <w:pStyle w:val="61"/>
              <w:spacing w:afterLines="0" w:line="240" w:lineRule="auto"/>
              <w:rPr>
                <w:rFonts w:ascii="仿宋" w:hAnsi="仿宋" w:eastAsia="仿宋" w:cs="Times New Roman"/>
              </w:rPr>
            </w:pPr>
          </w:p>
        </w:tc>
        <w:tc>
          <w:tcPr>
            <w:tcW w:w="209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铁矿</w:t>
            </w:r>
          </w:p>
        </w:tc>
        <w:tc>
          <w:tcPr>
            <w:tcW w:w="101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万吨</w:t>
            </w:r>
            <w:r>
              <w:rPr>
                <w:rFonts w:ascii="仿宋" w:hAnsi="仿宋" w:eastAsia="仿宋" w:cs="仿宋"/>
              </w:rPr>
              <w:t>/</w:t>
            </w:r>
            <w:r>
              <w:rPr>
                <w:rFonts w:hint="eastAsia" w:ascii="仿宋" w:hAnsi="仿宋" w:eastAsia="仿宋" w:cs="仿宋"/>
              </w:rPr>
              <w:t>年</w:t>
            </w:r>
          </w:p>
        </w:tc>
        <w:tc>
          <w:tcPr>
            <w:tcW w:w="1156"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60</w:t>
            </w:r>
          </w:p>
        </w:tc>
        <w:tc>
          <w:tcPr>
            <w:tcW w:w="1181"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68.55</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pStyle w:val="61"/>
              <w:spacing w:after="156" w:line="260" w:lineRule="exact"/>
              <w:jc w:val="both"/>
              <w:rPr>
                <w:rFonts w:ascii="仿宋" w:hAnsi="仿宋" w:eastAsia="仿宋" w:cs="Times New Roman"/>
              </w:rPr>
            </w:pPr>
          </w:p>
        </w:tc>
        <w:tc>
          <w:tcPr>
            <w:tcW w:w="1032" w:type="dxa"/>
            <w:vMerge w:val="continue"/>
            <w:shd w:val="clear" w:color="auto" w:fill="auto"/>
            <w:vAlign w:val="center"/>
          </w:tcPr>
          <w:p>
            <w:pPr>
              <w:pStyle w:val="61"/>
              <w:spacing w:afterLines="0" w:line="240" w:lineRule="auto"/>
              <w:rPr>
                <w:rFonts w:ascii="仿宋" w:hAnsi="仿宋" w:eastAsia="仿宋" w:cs="Times New Roman"/>
              </w:rPr>
            </w:pPr>
          </w:p>
        </w:tc>
        <w:tc>
          <w:tcPr>
            <w:tcW w:w="2096" w:type="dxa"/>
            <w:shd w:val="clear" w:color="auto" w:fill="auto"/>
            <w:vAlign w:val="center"/>
          </w:tcPr>
          <w:p>
            <w:pPr>
              <w:pStyle w:val="61"/>
              <w:spacing w:afterLines="0" w:line="240" w:lineRule="auto"/>
              <w:rPr>
                <w:rFonts w:ascii="仿宋" w:hAnsi="仿宋" w:eastAsia="仿宋" w:cs="Times New Roman"/>
              </w:rPr>
            </w:pPr>
            <w:r>
              <w:rPr>
                <w:rFonts w:ascii="仿宋" w:hAnsi="仿宋" w:eastAsia="仿宋" w:cs="仿宋"/>
              </w:rPr>
              <w:t xml:space="preserve"> </w:t>
            </w:r>
            <w:r>
              <w:rPr>
                <w:rFonts w:hint="eastAsia" w:ascii="仿宋" w:hAnsi="仿宋" w:eastAsia="仿宋" w:cs="仿宋"/>
              </w:rPr>
              <w:t>铜钼矿</w:t>
            </w:r>
          </w:p>
        </w:tc>
        <w:tc>
          <w:tcPr>
            <w:tcW w:w="101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吨</w:t>
            </w:r>
            <w:r>
              <w:rPr>
                <w:rFonts w:ascii="仿宋" w:hAnsi="仿宋" w:eastAsia="仿宋" w:cs="仿宋"/>
              </w:rPr>
              <w:t>/</w:t>
            </w:r>
            <w:r>
              <w:rPr>
                <w:rFonts w:hint="eastAsia" w:ascii="仿宋" w:hAnsi="仿宋" w:eastAsia="仿宋" w:cs="仿宋"/>
              </w:rPr>
              <w:t>年</w:t>
            </w:r>
          </w:p>
        </w:tc>
        <w:tc>
          <w:tcPr>
            <w:tcW w:w="1156"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1100</w:t>
            </w:r>
          </w:p>
        </w:tc>
        <w:tc>
          <w:tcPr>
            <w:tcW w:w="1181"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0</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pStyle w:val="61"/>
              <w:spacing w:after="156" w:line="260" w:lineRule="exact"/>
              <w:jc w:val="both"/>
              <w:rPr>
                <w:rFonts w:ascii="仿宋" w:hAnsi="仿宋" w:eastAsia="仿宋" w:cs="Times New Roman"/>
              </w:rPr>
            </w:pPr>
          </w:p>
        </w:tc>
        <w:tc>
          <w:tcPr>
            <w:tcW w:w="1032" w:type="dxa"/>
            <w:vMerge w:val="continue"/>
            <w:shd w:val="clear" w:color="auto" w:fill="auto"/>
            <w:vAlign w:val="center"/>
          </w:tcPr>
          <w:p>
            <w:pPr>
              <w:pStyle w:val="61"/>
              <w:spacing w:afterLines="0" w:line="240" w:lineRule="auto"/>
              <w:rPr>
                <w:rFonts w:ascii="仿宋" w:hAnsi="仿宋" w:eastAsia="仿宋" w:cs="Times New Roman"/>
              </w:rPr>
            </w:pPr>
          </w:p>
        </w:tc>
        <w:tc>
          <w:tcPr>
            <w:tcW w:w="209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石灰岩</w:t>
            </w:r>
          </w:p>
        </w:tc>
        <w:tc>
          <w:tcPr>
            <w:tcW w:w="101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万吨</w:t>
            </w:r>
            <w:r>
              <w:rPr>
                <w:rFonts w:ascii="仿宋" w:hAnsi="仿宋" w:eastAsia="仿宋" w:cs="仿宋"/>
              </w:rPr>
              <w:t>/</w:t>
            </w:r>
            <w:r>
              <w:rPr>
                <w:rFonts w:hint="eastAsia" w:ascii="仿宋" w:hAnsi="仿宋" w:eastAsia="仿宋" w:cs="仿宋"/>
              </w:rPr>
              <w:t>年</w:t>
            </w:r>
          </w:p>
        </w:tc>
        <w:tc>
          <w:tcPr>
            <w:tcW w:w="1156"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330</w:t>
            </w:r>
          </w:p>
        </w:tc>
        <w:tc>
          <w:tcPr>
            <w:tcW w:w="1181"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15</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restart"/>
            <w:shd w:val="clear" w:color="auto" w:fill="auto"/>
            <w:vAlign w:val="center"/>
          </w:tcPr>
          <w:p>
            <w:pPr>
              <w:pStyle w:val="61"/>
              <w:spacing w:afterLines="0" w:line="260" w:lineRule="exact"/>
              <w:jc w:val="both"/>
              <w:rPr>
                <w:rFonts w:ascii="仿宋" w:hAnsi="仿宋" w:eastAsia="仿宋" w:cs="Times New Roman"/>
              </w:rPr>
            </w:pPr>
            <w:r>
              <w:rPr>
                <w:rFonts w:hint="eastAsia" w:ascii="仿宋" w:hAnsi="仿宋" w:eastAsia="仿宋" w:cs="仿宋"/>
              </w:rPr>
              <w:t>矿业转型升级</w:t>
            </w:r>
          </w:p>
        </w:tc>
        <w:tc>
          <w:tcPr>
            <w:tcW w:w="3128" w:type="dxa"/>
            <w:gridSpan w:val="2"/>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矿山数量</w:t>
            </w:r>
          </w:p>
        </w:tc>
        <w:tc>
          <w:tcPr>
            <w:tcW w:w="1016" w:type="dxa"/>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个</w:t>
            </w:r>
          </w:p>
        </w:tc>
        <w:tc>
          <w:tcPr>
            <w:tcW w:w="1156" w:type="dxa"/>
            <w:shd w:val="clear" w:color="auto" w:fill="auto"/>
            <w:vAlign w:val="center"/>
          </w:tcPr>
          <w:p>
            <w:pPr>
              <w:ind w:firstLine="0" w:firstLineChars="0"/>
              <w:jc w:val="center"/>
              <w:rPr>
                <w:rFonts w:ascii="仿宋" w:hAnsi="仿宋" w:cs="仿宋"/>
                <w:sz w:val="21"/>
                <w:szCs w:val="21"/>
              </w:rPr>
            </w:pPr>
            <w:r>
              <w:rPr>
                <w:rFonts w:ascii="仿宋" w:hAnsi="仿宋" w:cs="仿宋"/>
                <w:sz w:val="21"/>
                <w:szCs w:val="21"/>
              </w:rPr>
              <w:t>25</w:t>
            </w:r>
          </w:p>
        </w:tc>
        <w:tc>
          <w:tcPr>
            <w:tcW w:w="1181"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13</w:t>
            </w:r>
          </w:p>
        </w:tc>
        <w:tc>
          <w:tcPr>
            <w:tcW w:w="804" w:type="dxa"/>
            <w:vMerge w:val="restart"/>
            <w:shd w:val="clear" w:color="auto" w:fill="auto"/>
            <w:vAlign w:val="center"/>
          </w:tcPr>
          <w:p>
            <w:pPr>
              <w:ind w:firstLine="0" w:firstLineChars="0"/>
              <w:jc w:val="center"/>
              <w:rPr>
                <w:rFonts w:ascii="仿宋"/>
                <w:sz w:val="21"/>
                <w:szCs w:val="21"/>
              </w:rPr>
            </w:pPr>
            <w:r>
              <w:rPr>
                <w:rFonts w:hint="eastAsia" w:ascii="仿宋" w:hAnsi="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pStyle w:val="61"/>
              <w:spacing w:afterLines="0" w:line="260" w:lineRule="exact"/>
              <w:jc w:val="both"/>
              <w:rPr>
                <w:rFonts w:ascii="仿宋" w:hAnsi="仿宋" w:eastAsia="仿宋" w:cs="Times New Roman"/>
              </w:rPr>
            </w:pPr>
          </w:p>
        </w:tc>
        <w:tc>
          <w:tcPr>
            <w:tcW w:w="3128" w:type="dxa"/>
            <w:gridSpan w:val="2"/>
            <w:shd w:val="clear" w:color="auto" w:fill="auto"/>
            <w:vAlign w:val="center"/>
          </w:tcPr>
          <w:p>
            <w:pPr>
              <w:ind w:firstLine="0" w:firstLineChars="0"/>
              <w:jc w:val="center"/>
              <w:rPr>
                <w:rFonts w:ascii="仿宋"/>
                <w:sz w:val="21"/>
                <w:szCs w:val="21"/>
              </w:rPr>
            </w:pPr>
            <w:r>
              <w:rPr>
                <w:rFonts w:hint="eastAsia" w:ascii="仿宋" w:hAnsi="仿宋" w:cs="仿宋"/>
                <w:sz w:val="21"/>
                <w:szCs w:val="21"/>
              </w:rPr>
              <w:t>大中型矿山比例</w:t>
            </w:r>
          </w:p>
        </w:tc>
        <w:tc>
          <w:tcPr>
            <w:tcW w:w="1016" w:type="dxa"/>
            <w:shd w:val="clear" w:color="auto" w:fill="auto"/>
            <w:vAlign w:val="center"/>
          </w:tcPr>
          <w:p>
            <w:pPr>
              <w:ind w:firstLine="0" w:firstLineChars="0"/>
              <w:jc w:val="center"/>
              <w:rPr>
                <w:rFonts w:ascii="仿宋" w:hAnsi="仿宋" w:cs="仿宋"/>
                <w:sz w:val="21"/>
                <w:szCs w:val="21"/>
              </w:rPr>
            </w:pPr>
            <w:r>
              <w:rPr>
                <w:rFonts w:ascii="仿宋" w:hAnsi="仿宋" w:cs="仿宋"/>
                <w:sz w:val="21"/>
                <w:szCs w:val="21"/>
              </w:rPr>
              <w:t>%</w:t>
            </w:r>
          </w:p>
        </w:tc>
        <w:tc>
          <w:tcPr>
            <w:tcW w:w="1156"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w:t>
            </w:r>
          </w:p>
        </w:tc>
        <w:tc>
          <w:tcPr>
            <w:tcW w:w="1181" w:type="dxa"/>
            <w:shd w:val="clear" w:color="auto" w:fill="auto"/>
            <w:vAlign w:val="center"/>
          </w:tcPr>
          <w:p>
            <w:pPr>
              <w:pStyle w:val="61"/>
              <w:spacing w:afterLines="0" w:line="240" w:lineRule="auto"/>
              <w:rPr>
                <w:rFonts w:ascii="仿宋" w:hAnsi="仿宋" w:eastAsia="仿宋" w:cs="仿宋"/>
              </w:rPr>
            </w:pPr>
            <w:r>
              <w:rPr>
                <w:rFonts w:ascii="仿宋" w:hAnsi="仿宋" w:eastAsia="仿宋" w:cs="仿宋"/>
              </w:rPr>
              <w:t>8</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1107" w:type="dxa"/>
            <w:vMerge w:val="restart"/>
            <w:shd w:val="clear" w:color="auto" w:fill="auto"/>
            <w:vAlign w:val="center"/>
          </w:tcPr>
          <w:p>
            <w:pPr>
              <w:pStyle w:val="61"/>
              <w:spacing w:afterLines="0" w:line="260" w:lineRule="exact"/>
              <w:jc w:val="both"/>
              <w:rPr>
                <w:rFonts w:ascii="仿宋" w:hAnsi="仿宋" w:eastAsia="仿宋" w:cs="Times New Roman"/>
              </w:rPr>
            </w:pPr>
            <w:r>
              <w:rPr>
                <w:rFonts w:hint="eastAsia" w:ascii="仿宋" w:hAnsi="仿宋" w:eastAsia="仿宋" w:cs="仿宋"/>
              </w:rPr>
              <w:t>矿产资源节约与综合利用</w:t>
            </w:r>
          </w:p>
        </w:tc>
        <w:tc>
          <w:tcPr>
            <w:tcW w:w="3128" w:type="dxa"/>
            <w:gridSpan w:val="2"/>
            <w:shd w:val="clear" w:color="auto" w:fill="auto"/>
            <w:vAlign w:val="center"/>
          </w:tcPr>
          <w:p>
            <w:pPr>
              <w:pStyle w:val="61"/>
              <w:spacing w:afterLines="0" w:line="240" w:lineRule="exact"/>
              <w:rPr>
                <w:rFonts w:ascii="仿宋" w:hAnsi="仿宋" w:eastAsia="仿宋" w:cs="Times New Roman"/>
              </w:rPr>
            </w:pPr>
            <w:r>
              <w:rPr>
                <w:rFonts w:hint="eastAsia" w:ascii="仿宋" w:hAnsi="仿宋" w:eastAsia="仿宋" w:cs="仿宋"/>
              </w:rPr>
              <w:t>开采回采率</w:t>
            </w:r>
          </w:p>
        </w:tc>
        <w:tc>
          <w:tcPr>
            <w:tcW w:w="1016" w:type="dxa"/>
            <w:shd w:val="clear" w:color="auto" w:fill="auto"/>
            <w:tcMar>
              <w:left w:w="0" w:type="dxa"/>
              <w:right w:w="0" w:type="dxa"/>
            </w:tcMar>
            <w:vAlign w:val="center"/>
          </w:tcPr>
          <w:p>
            <w:pPr>
              <w:pStyle w:val="61"/>
              <w:spacing w:afterLines="0" w:line="240" w:lineRule="exact"/>
              <w:rPr>
                <w:rFonts w:ascii="仿宋" w:hAnsi="仿宋" w:eastAsia="仿宋" w:cs="仿宋"/>
              </w:rPr>
            </w:pPr>
            <w:r>
              <w:rPr>
                <w:rFonts w:ascii="仿宋" w:hAnsi="仿宋" w:eastAsia="仿宋" w:cs="仿宋"/>
              </w:rPr>
              <w:t>%</w:t>
            </w:r>
          </w:p>
        </w:tc>
        <w:tc>
          <w:tcPr>
            <w:tcW w:w="1156" w:type="dxa"/>
            <w:shd w:val="clear" w:color="auto" w:fill="auto"/>
            <w:tcMar>
              <w:left w:w="28" w:type="dxa"/>
              <w:right w:w="28" w:type="dxa"/>
            </w:tcMar>
            <w:vAlign w:val="center"/>
          </w:tcPr>
          <w:p>
            <w:pPr>
              <w:pStyle w:val="61"/>
              <w:spacing w:afterLines="0" w:line="240" w:lineRule="exact"/>
              <w:jc w:val="left"/>
              <w:rPr>
                <w:rFonts w:ascii="仿宋" w:hAnsi="仿宋" w:eastAsia="仿宋" w:cs="Times New Roman"/>
              </w:rPr>
            </w:pPr>
            <w:r>
              <w:rPr>
                <w:rFonts w:hint="eastAsia" w:ascii="仿宋" w:hAnsi="仿宋" w:eastAsia="仿宋" w:cs="仿宋"/>
              </w:rPr>
              <w:t>提高</w:t>
            </w:r>
            <w:r>
              <w:rPr>
                <w:rFonts w:ascii="仿宋" w:hAnsi="仿宋" w:eastAsia="仿宋" w:cs="仿宋"/>
              </w:rPr>
              <w:t>3</w:t>
            </w:r>
            <w:r>
              <w:rPr>
                <w:rFonts w:hint="eastAsia" w:ascii="仿宋" w:hAnsi="仿宋" w:eastAsia="仿宋" w:cs="仿宋"/>
              </w:rPr>
              <w:t>个百分点以上</w:t>
            </w:r>
          </w:p>
        </w:tc>
        <w:tc>
          <w:tcPr>
            <w:tcW w:w="1181" w:type="dxa"/>
            <w:shd w:val="clear" w:color="auto" w:fill="auto"/>
            <w:vAlign w:val="center"/>
          </w:tcPr>
          <w:p>
            <w:pPr>
              <w:spacing w:line="240" w:lineRule="exact"/>
              <w:ind w:firstLine="0" w:firstLineChars="0"/>
              <w:jc w:val="center"/>
              <w:rPr>
                <w:rFonts w:ascii="仿宋"/>
                <w:sz w:val="21"/>
                <w:szCs w:val="21"/>
              </w:rPr>
            </w:pPr>
            <w:r>
              <w:rPr>
                <w:rFonts w:hint="eastAsia" w:ascii="仿宋" w:hAnsi="仿宋" w:cs="仿宋"/>
                <w:sz w:val="21"/>
                <w:szCs w:val="21"/>
              </w:rPr>
              <w:t>均有提升</w:t>
            </w:r>
          </w:p>
        </w:tc>
        <w:tc>
          <w:tcPr>
            <w:tcW w:w="804" w:type="dxa"/>
            <w:vMerge w:val="restart"/>
            <w:shd w:val="clear" w:color="auto" w:fill="auto"/>
            <w:vAlign w:val="center"/>
          </w:tcPr>
          <w:p>
            <w:pPr>
              <w:ind w:firstLine="0" w:firstLineChars="0"/>
              <w:jc w:val="center"/>
              <w:rPr>
                <w:rFonts w:ascii="仿宋"/>
                <w:sz w:val="21"/>
                <w:szCs w:val="21"/>
              </w:rPr>
            </w:pPr>
            <w:r>
              <w:rPr>
                <w:rFonts w:hint="eastAsia" w:ascii="仿宋" w:hAnsi="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1107" w:type="dxa"/>
            <w:vMerge w:val="continue"/>
            <w:shd w:val="clear" w:color="auto" w:fill="auto"/>
            <w:vAlign w:val="center"/>
          </w:tcPr>
          <w:p>
            <w:pPr>
              <w:spacing w:line="260" w:lineRule="exact"/>
              <w:ind w:firstLine="0" w:firstLineChars="0"/>
              <w:rPr>
                <w:rFonts w:ascii="仿宋"/>
                <w:sz w:val="21"/>
                <w:szCs w:val="21"/>
              </w:rPr>
            </w:pPr>
          </w:p>
        </w:tc>
        <w:tc>
          <w:tcPr>
            <w:tcW w:w="3128" w:type="dxa"/>
            <w:gridSpan w:val="2"/>
            <w:shd w:val="clear" w:color="auto" w:fill="auto"/>
            <w:vAlign w:val="center"/>
          </w:tcPr>
          <w:p>
            <w:pPr>
              <w:pStyle w:val="61"/>
              <w:spacing w:afterLines="0" w:line="240" w:lineRule="exact"/>
              <w:rPr>
                <w:rFonts w:ascii="仿宋" w:hAnsi="仿宋" w:eastAsia="仿宋" w:cs="Times New Roman"/>
              </w:rPr>
            </w:pPr>
            <w:r>
              <w:rPr>
                <w:rFonts w:hint="eastAsia" w:ascii="仿宋" w:hAnsi="仿宋" w:eastAsia="仿宋" w:cs="仿宋"/>
              </w:rPr>
              <w:t>选矿回收率</w:t>
            </w:r>
          </w:p>
        </w:tc>
        <w:tc>
          <w:tcPr>
            <w:tcW w:w="1016" w:type="dxa"/>
            <w:shd w:val="clear" w:color="auto" w:fill="auto"/>
            <w:tcMar>
              <w:left w:w="0" w:type="dxa"/>
              <w:right w:w="0" w:type="dxa"/>
            </w:tcMar>
            <w:vAlign w:val="center"/>
          </w:tcPr>
          <w:p>
            <w:pPr>
              <w:pStyle w:val="61"/>
              <w:spacing w:afterLines="0" w:line="240" w:lineRule="exact"/>
              <w:rPr>
                <w:rFonts w:ascii="仿宋" w:hAnsi="仿宋" w:eastAsia="仿宋" w:cs="仿宋"/>
              </w:rPr>
            </w:pPr>
            <w:r>
              <w:rPr>
                <w:rFonts w:ascii="仿宋" w:hAnsi="仿宋" w:eastAsia="仿宋" w:cs="仿宋"/>
              </w:rPr>
              <w:t>%</w:t>
            </w:r>
          </w:p>
        </w:tc>
        <w:tc>
          <w:tcPr>
            <w:tcW w:w="1156" w:type="dxa"/>
            <w:shd w:val="clear" w:color="auto" w:fill="auto"/>
            <w:tcMar>
              <w:left w:w="28" w:type="dxa"/>
              <w:right w:w="28" w:type="dxa"/>
            </w:tcMar>
            <w:vAlign w:val="center"/>
          </w:tcPr>
          <w:p>
            <w:pPr>
              <w:pStyle w:val="61"/>
              <w:spacing w:afterLines="0" w:line="240" w:lineRule="exact"/>
              <w:jc w:val="left"/>
              <w:rPr>
                <w:rFonts w:ascii="仿宋" w:hAnsi="仿宋" w:eastAsia="仿宋" w:cs="Times New Roman"/>
              </w:rPr>
            </w:pPr>
            <w:r>
              <w:rPr>
                <w:rFonts w:hint="eastAsia" w:ascii="仿宋" w:hAnsi="仿宋" w:eastAsia="仿宋" w:cs="仿宋"/>
              </w:rPr>
              <w:t>提高</w:t>
            </w:r>
            <w:r>
              <w:rPr>
                <w:rFonts w:ascii="仿宋" w:hAnsi="仿宋" w:eastAsia="仿宋" w:cs="仿宋"/>
              </w:rPr>
              <w:t>3</w:t>
            </w:r>
            <w:r>
              <w:rPr>
                <w:rFonts w:hint="eastAsia" w:ascii="仿宋" w:hAnsi="仿宋" w:eastAsia="仿宋" w:cs="仿宋"/>
              </w:rPr>
              <w:t>个百分点以上</w:t>
            </w:r>
          </w:p>
        </w:tc>
        <w:tc>
          <w:tcPr>
            <w:tcW w:w="1181" w:type="dxa"/>
            <w:shd w:val="clear" w:color="auto" w:fill="auto"/>
            <w:vAlign w:val="center"/>
          </w:tcPr>
          <w:p>
            <w:pPr>
              <w:spacing w:line="240" w:lineRule="exact"/>
              <w:ind w:firstLine="0" w:firstLineChars="0"/>
              <w:jc w:val="center"/>
              <w:rPr>
                <w:rFonts w:ascii="仿宋"/>
                <w:sz w:val="21"/>
                <w:szCs w:val="21"/>
              </w:rPr>
            </w:pPr>
            <w:r>
              <w:rPr>
                <w:rFonts w:hint="eastAsia" w:ascii="仿宋" w:hAnsi="仿宋" w:cs="仿宋"/>
                <w:sz w:val="21"/>
                <w:szCs w:val="21"/>
              </w:rPr>
              <w:t>均有提升</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1107" w:type="dxa"/>
            <w:vMerge w:val="continue"/>
            <w:shd w:val="clear" w:color="auto" w:fill="auto"/>
            <w:vAlign w:val="center"/>
          </w:tcPr>
          <w:p>
            <w:pPr>
              <w:spacing w:line="260" w:lineRule="exact"/>
              <w:ind w:firstLine="0" w:firstLineChars="0"/>
              <w:rPr>
                <w:rFonts w:ascii="仿宋"/>
                <w:sz w:val="21"/>
                <w:szCs w:val="21"/>
              </w:rPr>
            </w:pPr>
          </w:p>
        </w:tc>
        <w:tc>
          <w:tcPr>
            <w:tcW w:w="3128" w:type="dxa"/>
            <w:gridSpan w:val="2"/>
            <w:shd w:val="clear" w:color="auto" w:fill="auto"/>
            <w:vAlign w:val="center"/>
          </w:tcPr>
          <w:p>
            <w:pPr>
              <w:pStyle w:val="61"/>
              <w:spacing w:afterLines="0" w:line="240" w:lineRule="exact"/>
              <w:rPr>
                <w:rFonts w:ascii="仿宋" w:hAnsi="仿宋" w:eastAsia="仿宋" w:cs="Times New Roman"/>
              </w:rPr>
            </w:pPr>
            <w:r>
              <w:rPr>
                <w:rFonts w:hint="eastAsia" w:ascii="仿宋" w:hAnsi="仿宋" w:eastAsia="仿宋" w:cs="仿宋"/>
              </w:rPr>
              <w:t>综合利用率</w:t>
            </w:r>
          </w:p>
        </w:tc>
        <w:tc>
          <w:tcPr>
            <w:tcW w:w="1016" w:type="dxa"/>
            <w:shd w:val="clear" w:color="auto" w:fill="auto"/>
            <w:tcMar>
              <w:left w:w="0" w:type="dxa"/>
              <w:right w:w="0" w:type="dxa"/>
            </w:tcMar>
            <w:vAlign w:val="center"/>
          </w:tcPr>
          <w:p>
            <w:pPr>
              <w:pStyle w:val="61"/>
              <w:spacing w:afterLines="0" w:line="240" w:lineRule="exact"/>
              <w:rPr>
                <w:rFonts w:ascii="仿宋" w:hAnsi="仿宋" w:eastAsia="仿宋" w:cs="仿宋"/>
              </w:rPr>
            </w:pPr>
            <w:r>
              <w:rPr>
                <w:rFonts w:ascii="仿宋" w:hAnsi="仿宋" w:eastAsia="仿宋" w:cs="仿宋"/>
              </w:rPr>
              <w:t>%</w:t>
            </w:r>
          </w:p>
        </w:tc>
        <w:tc>
          <w:tcPr>
            <w:tcW w:w="1156" w:type="dxa"/>
            <w:shd w:val="clear" w:color="auto" w:fill="auto"/>
            <w:tcMar>
              <w:left w:w="28" w:type="dxa"/>
              <w:right w:w="28" w:type="dxa"/>
            </w:tcMar>
            <w:vAlign w:val="center"/>
          </w:tcPr>
          <w:p>
            <w:pPr>
              <w:spacing w:line="240" w:lineRule="exact"/>
              <w:ind w:firstLine="0" w:firstLineChars="0"/>
              <w:rPr>
                <w:rFonts w:ascii="仿宋"/>
                <w:sz w:val="21"/>
                <w:szCs w:val="21"/>
              </w:rPr>
            </w:pPr>
            <w:r>
              <w:rPr>
                <w:rFonts w:hint="eastAsia" w:ascii="仿宋" w:hAnsi="仿宋" w:cs="仿宋"/>
                <w:sz w:val="21"/>
                <w:szCs w:val="21"/>
              </w:rPr>
              <w:t>提高</w:t>
            </w:r>
            <w:r>
              <w:rPr>
                <w:rFonts w:ascii="仿宋" w:hAnsi="仿宋" w:cs="仿宋"/>
                <w:sz w:val="21"/>
                <w:szCs w:val="21"/>
              </w:rPr>
              <w:t>5</w:t>
            </w:r>
            <w:r>
              <w:rPr>
                <w:rFonts w:hint="eastAsia" w:ascii="仿宋" w:hAnsi="仿宋" w:cs="仿宋"/>
                <w:sz w:val="21"/>
                <w:szCs w:val="21"/>
              </w:rPr>
              <w:t>个百分点</w:t>
            </w:r>
          </w:p>
        </w:tc>
        <w:tc>
          <w:tcPr>
            <w:tcW w:w="1181" w:type="dxa"/>
            <w:shd w:val="clear" w:color="auto" w:fill="auto"/>
            <w:vAlign w:val="center"/>
          </w:tcPr>
          <w:p>
            <w:pPr>
              <w:spacing w:line="240" w:lineRule="exact"/>
              <w:ind w:firstLine="0" w:firstLineChars="0"/>
              <w:jc w:val="center"/>
              <w:rPr>
                <w:rFonts w:ascii="仿宋"/>
                <w:sz w:val="21"/>
                <w:szCs w:val="21"/>
              </w:rPr>
            </w:pPr>
            <w:r>
              <w:rPr>
                <w:rFonts w:hint="eastAsia" w:ascii="仿宋" w:hAnsi="仿宋" w:cs="仿宋"/>
                <w:sz w:val="21"/>
                <w:szCs w:val="21"/>
              </w:rPr>
              <w:t>均有提升</w:t>
            </w:r>
          </w:p>
        </w:tc>
        <w:tc>
          <w:tcPr>
            <w:tcW w:w="804" w:type="dxa"/>
            <w:vMerge w:val="continue"/>
            <w:shd w:val="clear" w:color="auto" w:fill="auto"/>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1107" w:type="dxa"/>
            <w:vMerge w:val="restart"/>
            <w:shd w:val="clear" w:color="auto" w:fill="auto"/>
            <w:vAlign w:val="center"/>
          </w:tcPr>
          <w:p>
            <w:pPr>
              <w:spacing w:line="260" w:lineRule="exact"/>
              <w:ind w:firstLine="0" w:firstLineChars="0"/>
              <w:rPr>
                <w:rFonts w:ascii="仿宋"/>
                <w:sz w:val="21"/>
                <w:szCs w:val="21"/>
              </w:rPr>
            </w:pPr>
            <w:r>
              <w:rPr>
                <w:rFonts w:hint="eastAsia" w:ascii="仿宋" w:hAnsi="仿宋" w:cs="仿宋"/>
                <w:sz w:val="21"/>
                <w:szCs w:val="21"/>
              </w:rPr>
              <w:t>矿山地质环境治理恢复率</w:t>
            </w:r>
          </w:p>
        </w:tc>
        <w:tc>
          <w:tcPr>
            <w:tcW w:w="3128" w:type="dxa"/>
            <w:gridSpan w:val="2"/>
            <w:shd w:val="clear" w:color="auto" w:fill="auto"/>
            <w:vAlign w:val="center"/>
          </w:tcPr>
          <w:p>
            <w:pPr>
              <w:pStyle w:val="61"/>
              <w:spacing w:afterLines="0" w:line="240" w:lineRule="exact"/>
              <w:rPr>
                <w:rFonts w:ascii="仿宋" w:hAnsi="仿宋" w:eastAsia="仿宋" w:cs="Times New Roman"/>
              </w:rPr>
            </w:pPr>
            <w:r>
              <w:rPr>
                <w:rFonts w:hint="eastAsia" w:ascii="仿宋" w:hAnsi="仿宋" w:eastAsia="仿宋" w:cs="仿宋"/>
              </w:rPr>
              <w:t>新建矿山</w:t>
            </w:r>
          </w:p>
        </w:tc>
        <w:tc>
          <w:tcPr>
            <w:tcW w:w="1016" w:type="dxa"/>
            <w:shd w:val="clear" w:color="auto" w:fill="auto"/>
            <w:vAlign w:val="center"/>
          </w:tcPr>
          <w:p>
            <w:pPr>
              <w:pStyle w:val="61"/>
              <w:spacing w:afterLines="0" w:line="240" w:lineRule="exact"/>
              <w:rPr>
                <w:rFonts w:ascii="仿宋" w:hAnsi="仿宋" w:eastAsia="仿宋" w:cs="仿宋"/>
              </w:rPr>
            </w:pPr>
            <w:r>
              <w:rPr>
                <w:rFonts w:ascii="仿宋" w:hAnsi="仿宋" w:eastAsia="仿宋" w:cs="仿宋"/>
              </w:rPr>
              <w:t>%</w:t>
            </w:r>
          </w:p>
        </w:tc>
        <w:tc>
          <w:tcPr>
            <w:tcW w:w="1156" w:type="dxa"/>
            <w:shd w:val="clear" w:color="auto" w:fill="auto"/>
            <w:tcMar>
              <w:left w:w="0" w:type="dxa"/>
              <w:right w:w="0" w:type="dxa"/>
            </w:tcMar>
            <w:vAlign w:val="center"/>
          </w:tcPr>
          <w:p>
            <w:pPr>
              <w:pStyle w:val="61"/>
              <w:spacing w:afterLines="0" w:line="240" w:lineRule="exact"/>
              <w:rPr>
                <w:rFonts w:ascii="仿宋" w:hAnsi="仿宋" w:eastAsia="仿宋" w:cs="仿宋"/>
              </w:rPr>
            </w:pPr>
            <w:r>
              <w:rPr>
                <w:rFonts w:ascii="仿宋" w:hAnsi="仿宋" w:eastAsia="仿宋" w:cs="仿宋"/>
              </w:rPr>
              <w:t>100%</w:t>
            </w:r>
          </w:p>
        </w:tc>
        <w:tc>
          <w:tcPr>
            <w:tcW w:w="1181" w:type="dxa"/>
            <w:shd w:val="clear" w:color="auto" w:fill="auto"/>
            <w:vAlign w:val="center"/>
          </w:tcPr>
          <w:p>
            <w:pPr>
              <w:pStyle w:val="61"/>
              <w:spacing w:afterLines="0" w:line="240" w:lineRule="exact"/>
              <w:rPr>
                <w:rFonts w:ascii="仿宋" w:hAnsi="仿宋" w:eastAsia="仿宋" w:cs="仿宋"/>
              </w:rPr>
            </w:pPr>
            <w:r>
              <w:rPr>
                <w:rFonts w:ascii="仿宋" w:hAnsi="仿宋" w:eastAsia="仿宋" w:cs="仿宋"/>
              </w:rPr>
              <w:t>100</w:t>
            </w:r>
          </w:p>
        </w:tc>
        <w:tc>
          <w:tcPr>
            <w:tcW w:w="804" w:type="dxa"/>
            <w:vMerge w:val="restart"/>
            <w:shd w:val="clear" w:color="auto" w:fill="auto"/>
            <w:vAlign w:val="center"/>
          </w:tcPr>
          <w:p>
            <w:pPr>
              <w:ind w:firstLine="0" w:firstLineChars="0"/>
              <w:jc w:val="center"/>
              <w:rPr>
                <w:rFonts w:ascii="仿宋"/>
                <w:sz w:val="21"/>
                <w:szCs w:val="21"/>
              </w:rPr>
            </w:pPr>
            <w:r>
              <w:rPr>
                <w:rFonts w:hint="eastAsia" w:ascii="仿宋" w:hAnsi="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exact"/>
          <w:jc w:val="center"/>
        </w:trPr>
        <w:tc>
          <w:tcPr>
            <w:tcW w:w="1107" w:type="dxa"/>
            <w:vMerge w:val="continue"/>
            <w:shd w:val="clear" w:color="auto" w:fill="auto"/>
            <w:vAlign w:val="center"/>
          </w:tcPr>
          <w:p>
            <w:pPr>
              <w:spacing w:line="300" w:lineRule="exact"/>
              <w:ind w:firstLine="0" w:firstLineChars="0"/>
              <w:rPr>
                <w:rFonts w:ascii="仿宋"/>
                <w:sz w:val="21"/>
                <w:szCs w:val="21"/>
              </w:rPr>
            </w:pPr>
          </w:p>
        </w:tc>
        <w:tc>
          <w:tcPr>
            <w:tcW w:w="3128" w:type="dxa"/>
            <w:gridSpan w:val="2"/>
            <w:shd w:val="clear" w:color="auto" w:fill="auto"/>
            <w:vAlign w:val="center"/>
          </w:tcPr>
          <w:p>
            <w:pPr>
              <w:pStyle w:val="61"/>
              <w:spacing w:afterLines="0" w:line="240" w:lineRule="exact"/>
              <w:rPr>
                <w:rFonts w:ascii="仿宋" w:hAnsi="仿宋" w:eastAsia="仿宋" w:cs="Times New Roman"/>
              </w:rPr>
            </w:pPr>
            <w:r>
              <w:rPr>
                <w:rFonts w:hint="eastAsia" w:ascii="仿宋" w:hAnsi="仿宋" w:eastAsia="仿宋" w:cs="仿宋"/>
              </w:rPr>
              <w:t>生产矿山</w:t>
            </w:r>
          </w:p>
        </w:tc>
        <w:tc>
          <w:tcPr>
            <w:tcW w:w="1016" w:type="dxa"/>
            <w:shd w:val="clear" w:color="auto" w:fill="auto"/>
            <w:vAlign w:val="center"/>
          </w:tcPr>
          <w:p>
            <w:pPr>
              <w:pStyle w:val="61"/>
              <w:spacing w:after="156" w:line="240" w:lineRule="exact"/>
              <w:rPr>
                <w:rFonts w:ascii="仿宋" w:hAnsi="仿宋" w:eastAsia="仿宋" w:cs="仿宋"/>
              </w:rPr>
            </w:pPr>
            <w:r>
              <w:rPr>
                <w:rFonts w:ascii="仿宋" w:hAnsi="仿宋" w:eastAsia="仿宋" w:cs="仿宋"/>
              </w:rPr>
              <w:t>%</w:t>
            </w:r>
          </w:p>
        </w:tc>
        <w:tc>
          <w:tcPr>
            <w:tcW w:w="1156" w:type="dxa"/>
            <w:shd w:val="clear" w:color="auto" w:fill="auto"/>
            <w:tcMar>
              <w:left w:w="0" w:type="dxa"/>
              <w:right w:w="0" w:type="dxa"/>
            </w:tcMar>
            <w:vAlign w:val="center"/>
          </w:tcPr>
          <w:p>
            <w:pPr>
              <w:pStyle w:val="61"/>
              <w:spacing w:afterLines="0" w:line="240" w:lineRule="exact"/>
              <w:rPr>
                <w:rFonts w:ascii="仿宋" w:hAnsi="仿宋" w:eastAsia="仿宋" w:cs="仿宋"/>
              </w:rPr>
            </w:pPr>
            <w:r>
              <w:rPr>
                <w:rFonts w:ascii="仿宋" w:hAnsi="仿宋" w:eastAsia="仿宋" w:cs="仿宋"/>
              </w:rPr>
              <w:t>100%</w:t>
            </w:r>
          </w:p>
        </w:tc>
        <w:tc>
          <w:tcPr>
            <w:tcW w:w="1181" w:type="dxa"/>
            <w:shd w:val="clear" w:color="auto" w:fill="auto"/>
            <w:vAlign w:val="center"/>
          </w:tcPr>
          <w:p>
            <w:pPr>
              <w:spacing w:line="240" w:lineRule="exact"/>
              <w:ind w:firstLine="0" w:firstLineChars="0"/>
              <w:jc w:val="center"/>
              <w:rPr>
                <w:rFonts w:ascii="仿宋" w:hAnsi="仿宋" w:cs="仿宋"/>
                <w:sz w:val="21"/>
                <w:szCs w:val="21"/>
              </w:rPr>
            </w:pPr>
            <w:r>
              <w:rPr>
                <w:rFonts w:ascii="仿宋" w:hAnsi="仿宋" w:cs="仿宋"/>
                <w:sz w:val="21"/>
                <w:szCs w:val="21"/>
              </w:rPr>
              <w:t>100</w:t>
            </w:r>
          </w:p>
        </w:tc>
        <w:tc>
          <w:tcPr>
            <w:tcW w:w="804" w:type="dxa"/>
            <w:vMerge w:val="continue"/>
            <w:shd w:val="clear" w:color="auto" w:fill="auto"/>
            <w:vAlign w:val="center"/>
          </w:tcPr>
          <w:p>
            <w:pPr>
              <w:spacing w:after="120"/>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107" w:type="dxa"/>
            <w:vMerge w:val="continue"/>
            <w:shd w:val="clear" w:color="auto" w:fill="auto"/>
            <w:vAlign w:val="center"/>
          </w:tcPr>
          <w:p>
            <w:pPr>
              <w:spacing w:line="300" w:lineRule="exact"/>
              <w:ind w:firstLine="0" w:firstLineChars="0"/>
              <w:rPr>
                <w:rFonts w:ascii="仿宋"/>
                <w:sz w:val="21"/>
                <w:szCs w:val="21"/>
              </w:rPr>
            </w:pPr>
          </w:p>
        </w:tc>
        <w:tc>
          <w:tcPr>
            <w:tcW w:w="3128" w:type="dxa"/>
            <w:gridSpan w:val="2"/>
            <w:shd w:val="clear" w:color="auto" w:fill="auto"/>
            <w:vAlign w:val="center"/>
          </w:tcPr>
          <w:p>
            <w:pPr>
              <w:pStyle w:val="61"/>
              <w:spacing w:afterLines="0" w:line="240" w:lineRule="auto"/>
              <w:rPr>
                <w:rFonts w:ascii="仿宋" w:hAnsi="仿宋" w:eastAsia="仿宋" w:cs="Times New Roman"/>
              </w:rPr>
            </w:pPr>
            <w:r>
              <w:rPr>
                <w:rFonts w:hint="eastAsia" w:ascii="仿宋" w:hAnsi="仿宋" w:eastAsia="仿宋" w:cs="仿宋"/>
              </w:rPr>
              <w:t>历史遗留矿山</w:t>
            </w:r>
          </w:p>
        </w:tc>
        <w:tc>
          <w:tcPr>
            <w:tcW w:w="1016" w:type="dxa"/>
            <w:shd w:val="clear" w:color="auto" w:fill="auto"/>
            <w:vAlign w:val="center"/>
          </w:tcPr>
          <w:p>
            <w:pPr>
              <w:pStyle w:val="61"/>
              <w:spacing w:after="156" w:line="320" w:lineRule="exact"/>
              <w:rPr>
                <w:rFonts w:ascii="仿宋" w:hAnsi="仿宋" w:eastAsia="仿宋" w:cs="仿宋"/>
              </w:rPr>
            </w:pPr>
            <w:r>
              <w:rPr>
                <w:rFonts w:ascii="仿宋" w:hAnsi="仿宋" w:eastAsia="仿宋" w:cs="仿宋"/>
              </w:rPr>
              <w:t>%</w:t>
            </w:r>
          </w:p>
        </w:tc>
        <w:tc>
          <w:tcPr>
            <w:tcW w:w="1156" w:type="dxa"/>
            <w:shd w:val="clear" w:color="auto" w:fill="auto"/>
            <w:vAlign w:val="center"/>
          </w:tcPr>
          <w:p>
            <w:pPr>
              <w:pStyle w:val="61"/>
              <w:spacing w:afterLines="0" w:line="320" w:lineRule="exact"/>
              <w:rPr>
                <w:rFonts w:ascii="仿宋" w:hAnsi="仿宋" w:eastAsia="仿宋" w:cs="仿宋"/>
              </w:rPr>
            </w:pPr>
            <w:r>
              <w:rPr>
                <w:rFonts w:ascii="仿宋" w:hAnsi="仿宋" w:eastAsia="仿宋" w:cs="仿宋"/>
              </w:rPr>
              <w:t>30</w:t>
            </w:r>
          </w:p>
        </w:tc>
        <w:tc>
          <w:tcPr>
            <w:tcW w:w="1181" w:type="dxa"/>
            <w:shd w:val="clear" w:color="auto" w:fill="auto"/>
            <w:vAlign w:val="center"/>
          </w:tcPr>
          <w:p>
            <w:pPr>
              <w:pStyle w:val="61"/>
              <w:spacing w:afterLines="0" w:line="320" w:lineRule="exact"/>
              <w:rPr>
                <w:rFonts w:ascii="仿宋" w:hAnsi="仿宋" w:eastAsia="仿宋" w:cs="仿宋"/>
              </w:rPr>
            </w:pPr>
            <w:r>
              <w:rPr>
                <w:rFonts w:ascii="仿宋" w:hAnsi="仿宋" w:eastAsia="仿宋" w:cs="仿宋"/>
              </w:rPr>
              <w:t>40</w:t>
            </w:r>
          </w:p>
        </w:tc>
        <w:tc>
          <w:tcPr>
            <w:tcW w:w="804" w:type="dxa"/>
            <w:vMerge w:val="continue"/>
            <w:shd w:val="clear" w:color="auto" w:fill="auto"/>
            <w:vAlign w:val="center"/>
          </w:tcPr>
          <w:p>
            <w:pPr>
              <w:spacing w:after="120"/>
              <w:ind w:firstLine="0" w:firstLineChars="0"/>
              <w:jc w:val="center"/>
              <w:rPr>
                <w:rFonts w:ascii="仿宋"/>
                <w:sz w:val="21"/>
                <w:szCs w:val="21"/>
              </w:rPr>
            </w:pPr>
          </w:p>
        </w:tc>
      </w:tr>
    </w:tbl>
    <w:p>
      <w:pPr>
        <w:pStyle w:val="3"/>
        <w:spacing w:before="156" w:after="156"/>
        <w:rPr>
          <w:rFonts w:ascii="仿宋" w:cs="Times New Roman"/>
        </w:rPr>
      </w:pPr>
      <w:bookmarkStart w:id="15" w:name="_Toc41758809"/>
      <w:r>
        <w:rPr>
          <w:rFonts w:hint="eastAsia" w:ascii="仿宋" w:hAnsi="仿宋" w:cs="仿宋"/>
        </w:rPr>
        <w:t>第三节</w:t>
      </w:r>
      <w:r>
        <w:rPr>
          <w:rFonts w:ascii="仿宋" w:hAnsi="仿宋" w:cs="仿宋"/>
        </w:rPr>
        <w:t xml:space="preserve"> </w:t>
      </w:r>
      <w:r>
        <w:rPr>
          <w:rFonts w:hint="eastAsia" w:ascii="仿宋" w:hAnsi="仿宋" w:cs="仿宋"/>
        </w:rPr>
        <w:t>存在问题</w:t>
      </w:r>
      <w:bookmarkEnd w:id="15"/>
    </w:p>
    <w:p>
      <w:pPr>
        <w:ind w:firstLine="640"/>
        <w:rPr>
          <w:rFonts w:ascii="仿宋"/>
        </w:rPr>
      </w:pPr>
      <w:r>
        <w:rPr>
          <w:rFonts w:hint="eastAsia" w:ascii="仿宋" w:hAnsi="仿宋" w:cs="仿宋"/>
        </w:rPr>
        <w:t>找矿难度增大，主要矿种储量不足。浅部矿产勘查程度较高，深部找矿成为重点工作目标，加大了找矿成本与难度，又由于地质勘查资金投入不足，使得新增矿产地较少，可供矿山建设的资源储量不足。矿山企业数量减少，产量日益下降。</w:t>
      </w:r>
    </w:p>
    <w:p>
      <w:pPr>
        <w:ind w:firstLine="640"/>
        <w:rPr>
          <w:rFonts w:ascii="仿宋"/>
        </w:rPr>
      </w:pPr>
      <w:r>
        <w:rPr>
          <w:rFonts w:hint="eastAsia" w:ascii="仿宋" w:hAnsi="仿宋" w:cs="仿宋"/>
        </w:rPr>
        <w:t>矿业结构单一，部分优势矿种勘查开发程度较低，矿产资源勘查程度不一，资源储备不足，除冶金辅助矿产勘查程度相对较高外，其他矿产勘查程度低，相当一部分优势矿产和潜在优势矿产勘查开发程度很低。</w:t>
      </w:r>
    </w:p>
    <w:p>
      <w:pPr>
        <w:ind w:firstLine="640"/>
        <w:rPr>
          <w:rFonts w:ascii="仿宋"/>
        </w:rPr>
      </w:pPr>
      <w:r>
        <w:rPr>
          <w:rFonts w:hint="eastAsia" w:ascii="仿宋" w:hAnsi="仿宋" w:cs="仿宋"/>
        </w:rPr>
        <w:t>矿山剥离及采矿中粉尘污染，矿山产生的大量废石（渣）及尾矿多数未回收利用等等矿山环境问题；历史遗留问题多，现有矿山地质环境问题依然严重，治理资金缺乏，局部治理效果明显但总体面貌改观有限，矿山企业对矿山地质环境治理重视程度不够。</w:t>
      </w:r>
    </w:p>
    <w:p>
      <w:pPr>
        <w:pStyle w:val="3"/>
        <w:spacing w:before="156" w:after="156"/>
        <w:rPr>
          <w:rFonts w:ascii="仿宋" w:cs="Times New Roman"/>
        </w:rPr>
      </w:pPr>
      <w:bookmarkStart w:id="16" w:name="_Toc41758810"/>
      <w:r>
        <w:rPr>
          <w:rFonts w:hint="eastAsia" w:ascii="仿宋" w:hAnsi="仿宋" w:cs="仿宋"/>
        </w:rPr>
        <w:t>第四节</w:t>
      </w:r>
      <w:r>
        <w:rPr>
          <w:rFonts w:ascii="仿宋" w:hAnsi="仿宋" w:cs="仿宋"/>
        </w:rPr>
        <w:t xml:space="preserve"> </w:t>
      </w:r>
      <w:r>
        <w:rPr>
          <w:rFonts w:hint="eastAsia" w:ascii="仿宋" w:hAnsi="仿宋" w:cs="仿宋"/>
        </w:rPr>
        <w:t>形势与要求</w:t>
      </w:r>
      <w:bookmarkEnd w:id="16"/>
    </w:p>
    <w:p>
      <w:pPr>
        <w:ind w:firstLine="640"/>
        <w:rPr>
          <w:rFonts w:ascii="仿宋"/>
        </w:rPr>
      </w:pPr>
      <w:r>
        <w:rPr>
          <w:rFonts w:hint="eastAsia" w:ascii="仿宋" w:hAnsi="仿宋" w:cs="仿宋"/>
        </w:rPr>
        <w:t>“十三五”时期，是建设经济强区、绿色勘查、开采的重要时期，生态文明建设、京津冀协同发展、“一带一路”</w:t>
      </w:r>
      <w:r>
        <w:rPr>
          <w:rFonts w:hint="eastAsia" w:ascii="仿宋" w:hAnsi="仿宋" w:cs="仿宋"/>
          <w:lang w:eastAsia="zh-CN"/>
        </w:rPr>
        <w:t>倡议</w:t>
      </w:r>
      <w:r>
        <w:rPr>
          <w:rFonts w:hint="eastAsia" w:ascii="仿宋" w:hAnsi="仿宋" w:cs="仿宋"/>
        </w:rPr>
        <w:t>、供给侧结构性改革的实施，为矿业转型升级与绿色发展提供了机遇，未来五年，资源形势面临重大挑战。</w:t>
      </w:r>
    </w:p>
    <w:p>
      <w:pPr>
        <w:spacing w:line="360" w:lineRule="auto"/>
        <w:ind w:firstLine="643"/>
        <w:rPr>
          <w:rFonts w:ascii="仿宋"/>
        </w:rPr>
      </w:pPr>
      <w:r>
        <w:rPr>
          <w:rFonts w:hint="eastAsia" w:ascii="仿宋" w:hAnsi="仿宋" w:cs="仿宋"/>
          <w:b/>
          <w:bCs/>
        </w:rPr>
        <w:t>生态文明建设要求主动推进矿产资源绿色开发。</w:t>
      </w:r>
      <w:r>
        <w:rPr>
          <w:rFonts w:hint="eastAsia" w:ascii="仿宋" w:hAnsi="仿宋" w:cs="仿宋"/>
        </w:rPr>
        <w:t>承德市鹰手营子矿区露天矿山主要为灰岩，在开发中带来的矿山环境问题突出。在生态文明建设新形势要求下，矿产资源勘查开发必须走集约规模化道路，转变矿业开发利用方式，加大矿山地质环境治理恢复力度，实现矿产资源绿色开发。</w:t>
      </w:r>
    </w:p>
    <w:p>
      <w:pPr>
        <w:spacing w:line="360" w:lineRule="auto"/>
        <w:ind w:firstLine="643"/>
        <w:rPr>
          <w:rFonts w:ascii="仿宋"/>
        </w:rPr>
      </w:pPr>
      <w:r>
        <w:rPr>
          <w:rFonts w:hint="eastAsia" w:ascii="仿宋" w:hAnsi="仿宋" w:cs="仿宋"/>
          <w:b/>
          <w:bCs/>
        </w:rPr>
        <w:t>绿色矿业发展要求加快矿业经济转型升级。</w:t>
      </w:r>
      <w:r>
        <w:rPr>
          <w:rFonts w:ascii="仿宋" w:hAnsi="仿宋" w:cs="仿宋"/>
        </w:rPr>
        <w:t xml:space="preserve"> </w:t>
      </w:r>
      <w:r>
        <w:rPr>
          <w:rFonts w:hint="eastAsia" w:ascii="仿宋" w:hAnsi="仿宋" w:cs="仿宋"/>
        </w:rPr>
        <w:t>“十三五”期间，需要积极适应引领经济发展新常态，积极推进矿业供给侧结构性改革，压减与产能过剩行业配套的矿产资源生产规模，减少矿业权数量，坚定走加快转型、绿色发展、跨越提升之路，从粗放型增长向集约型增长转变，从增量扩张向调减存量、做优增量转变，从资源要素依赖向创新驱动发展转变，促进经济转型升级，推动绿色发展。</w:t>
      </w:r>
    </w:p>
    <w:p>
      <w:pPr>
        <w:spacing w:line="360" w:lineRule="auto"/>
        <w:ind w:firstLine="643"/>
        <w:rPr>
          <w:rFonts w:ascii="仿宋"/>
        </w:rPr>
      </w:pPr>
      <w:r>
        <w:rPr>
          <w:rFonts w:hint="eastAsia" w:ascii="仿宋" w:hAnsi="仿宋" w:cs="仿宋"/>
          <w:b/>
          <w:bCs/>
        </w:rPr>
        <w:t>新形势要求推进绿色矿山建设。</w:t>
      </w:r>
      <w:r>
        <w:rPr>
          <w:rFonts w:hint="eastAsia" w:ascii="仿宋" w:hAnsi="仿宋" w:cs="仿宋"/>
        </w:rPr>
        <w:t>在京津冀协同发展国家战略新形势下，国土资源部将承德列为建设国家绿色矿业发展示范区，全区要加强绿色矿业建设的紧迫感和责任感，统筹矿业与经济、环境、社会协调发展。</w:t>
      </w:r>
    </w:p>
    <w:p>
      <w:pPr>
        <w:spacing w:line="360" w:lineRule="auto"/>
        <w:ind w:firstLine="643"/>
        <w:rPr>
          <w:rFonts w:ascii="仿宋"/>
        </w:rPr>
      </w:pPr>
      <w:r>
        <w:rPr>
          <w:rFonts w:hint="eastAsia" w:ascii="仿宋" w:hAnsi="仿宋" w:cs="仿宋"/>
          <w:b/>
          <w:bCs/>
        </w:rPr>
        <w:t>政府职能转变要求创新矿产资源管理体制机制。</w:t>
      </w:r>
      <w:r>
        <w:rPr>
          <w:rFonts w:hint="eastAsia" w:ascii="仿宋" w:hAnsi="仿宋" w:cs="仿宋"/>
        </w:rPr>
        <w:t>矿产资源配置市场化程度低，现代矿业权市场体系尚不健全。资源开发经济调节和利益分配机制不够合理，矿山地质环境治理恢复机制有待完善。“十三五”期间，要求简政放权，深化审批制度改革，加快法制建设，创新管理体制机制，推进有偿使用制度改革，健全矿业市场体系，解决矿山环境保护和资源开发利益分配中的突出问题，实现矿业经济健康发展，促进社会和谐稳定。</w:t>
      </w:r>
    </w:p>
    <w:p>
      <w:pPr>
        <w:pStyle w:val="2"/>
        <w:spacing w:before="156" w:after="156"/>
      </w:pPr>
      <w:r>
        <w:br w:type="page"/>
      </w:r>
      <w:bookmarkStart w:id="17" w:name="_Toc41758811"/>
      <w:r>
        <w:rPr>
          <w:rFonts w:hint="eastAsia"/>
        </w:rPr>
        <w:t>第二章</w:t>
      </w:r>
      <w:r>
        <w:t xml:space="preserve"> </w:t>
      </w:r>
      <w:r>
        <w:rPr>
          <w:rFonts w:hint="eastAsia"/>
        </w:rPr>
        <w:t>指导原则与目标</w:t>
      </w:r>
      <w:bookmarkEnd w:id="17"/>
    </w:p>
    <w:p>
      <w:pPr>
        <w:pStyle w:val="3"/>
        <w:spacing w:before="156" w:after="156"/>
        <w:rPr>
          <w:rFonts w:ascii="仿宋" w:cs="Times New Roman"/>
        </w:rPr>
      </w:pPr>
      <w:bookmarkStart w:id="18" w:name="_Toc41758812"/>
      <w:r>
        <w:rPr>
          <w:rFonts w:hint="eastAsia" w:ascii="仿宋" w:hAnsi="仿宋" w:cs="仿宋"/>
        </w:rPr>
        <w:t>第一节</w:t>
      </w:r>
      <w:r>
        <w:rPr>
          <w:rFonts w:ascii="仿宋" w:hAnsi="仿宋" w:cs="仿宋"/>
        </w:rPr>
        <w:t xml:space="preserve"> </w:t>
      </w:r>
      <w:r>
        <w:rPr>
          <w:rFonts w:hint="eastAsia" w:ascii="仿宋" w:hAnsi="仿宋" w:cs="仿宋"/>
        </w:rPr>
        <w:t>指导原则</w:t>
      </w:r>
      <w:bookmarkEnd w:id="18"/>
    </w:p>
    <w:p>
      <w:pPr>
        <w:pStyle w:val="4"/>
        <w:ind w:firstLine="643"/>
        <w:rPr>
          <w:rFonts w:ascii="仿宋"/>
        </w:rPr>
      </w:pPr>
      <w:r>
        <w:rPr>
          <w:rFonts w:hint="eastAsia" w:ascii="仿宋" w:hAnsi="仿宋" w:cs="仿宋"/>
        </w:rPr>
        <w:t>一、指导思想</w:t>
      </w:r>
    </w:p>
    <w:p>
      <w:pPr>
        <w:adjustRightInd w:val="0"/>
        <w:spacing w:line="600" w:lineRule="exact"/>
        <w:ind w:firstLine="640"/>
        <w:rPr>
          <w:rFonts w:ascii="仿宋"/>
        </w:rPr>
      </w:pPr>
      <w:r>
        <w:rPr>
          <w:rFonts w:hint="eastAsia" w:ascii="仿宋" w:hAnsi="仿宋" w:cs="仿宋"/>
        </w:rPr>
        <w:t>深入贯彻习近平总书记绿水青山就是金山银山的重要思想，牢固树立和贯彻落实创新、协调、绿色、开放、共享的发展理念，结合鹰手营子矿区资源现状，以加强矿产资源勘查为基础、以矿业结构调整为主线、以提高矿产资源对经济社会可持续发展的保障能力为目标，努力实现矿产资源利用方式和管理方式的根本转变。以工程项目实施为手段，依靠科技进步，提高重点矿山接续资源保证程度，提高铜、钼等伴生矿产综合利用水平，提高重点矿区地质环境治理恢复成效，发挥鹰手营子矿区铁、铜、钼及非金属建材等资源优势，统筹矿产资源开发利用经济效益、资源效益、环境效益和社会效益的协调统一，促进全区矿业经济健康、协调和可持续发展，为建设经济强区、生态鹰城提供资源保障。</w:t>
      </w:r>
      <w:bookmarkStart w:id="19" w:name="_Toc312095558"/>
      <w:bookmarkStart w:id="20" w:name="_Toc292614413"/>
      <w:bookmarkStart w:id="21" w:name="_Toc311557278"/>
      <w:bookmarkStart w:id="22" w:name="_Toc288121083"/>
    </w:p>
    <w:p>
      <w:pPr>
        <w:pStyle w:val="4"/>
        <w:ind w:firstLine="643"/>
        <w:rPr>
          <w:rFonts w:ascii="仿宋"/>
        </w:rPr>
      </w:pPr>
      <w:r>
        <w:rPr>
          <w:rFonts w:hint="eastAsia" w:ascii="仿宋" w:hAnsi="仿宋" w:cs="仿宋"/>
        </w:rPr>
        <w:t>二、基本原则</w:t>
      </w:r>
      <w:bookmarkEnd w:id="19"/>
      <w:bookmarkEnd w:id="20"/>
      <w:bookmarkEnd w:id="21"/>
      <w:bookmarkEnd w:id="22"/>
    </w:p>
    <w:p>
      <w:pPr>
        <w:pStyle w:val="59"/>
        <w:spacing w:afterLines="0" w:line="560" w:lineRule="exact"/>
        <w:ind w:firstLine="643"/>
        <w:rPr>
          <w:rFonts w:ascii="仿宋" w:hAnsi="仿宋" w:eastAsia="仿宋" w:cs="Times New Roman"/>
          <w:sz w:val="32"/>
          <w:szCs w:val="32"/>
        </w:rPr>
      </w:pPr>
      <w:r>
        <w:rPr>
          <w:rFonts w:hint="eastAsia" w:ascii="仿宋" w:hAnsi="仿宋" w:eastAsia="仿宋" w:cs="仿宋"/>
          <w:b/>
          <w:bCs/>
          <w:sz w:val="32"/>
          <w:szCs w:val="32"/>
        </w:rPr>
        <w:t>保护生态，绿色发展。</w:t>
      </w:r>
      <w:r>
        <w:rPr>
          <w:rFonts w:hint="eastAsia" w:ascii="仿宋" w:hAnsi="仿宋" w:eastAsia="仿宋" w:cs="仿宋"/>
          <w:sz w:val="32"/>
          <w:szCs w:val="32"/>
        </w:rPr>
        <w:t>坚持生态保护优先，树立底线思维和红线意识，严守生态保护红线，将绿色发展理念贯穿于矿产资源勘查开发各个环节。推进矿产资源绿色勘查开发，统筹安排矿山地质环境保护与治理恢复，积极推进绿色矿业发展，促进矿产资源开发利用与矿山地质环境保护协调发展。</w:t>
      </w:r>
    </w:p>
    <w:p>
      <w:pPr>
        <w:pStyle w:val="57"/>
        <w:spacing w:afterLines="0" w:line="560" w:lineRule="exact"/>
        <w:ind w:firstLine="643"/>
        <w:rPr>
          <w:rFonts w:ascii="仿宋" w:hAnsi="仿宋" w:eastAsia="仿宋" w:cs="Times New Roman"/>
          <w:sz w:val="32"/>
          <w:szCs w:val="32"/>
        </w:rPr>
      </w:pPr>
      <w:r>
        <w:rPr>
          <w:rFonts w:hint="eastAsia" w:ascii="仿宋" w:hAnsi="仿宋" w:eastAsia="仿宋" w:cs="仿宋"/>
          <w:b/>
          <w:bCs/>
          <w:sz w:val="32"/>
          <w:szCs w:val="32"/>
        </w:rPr>
        <w:t>调整开发，控制总量。</w:t>
      </w:r>
      <w:r>
        <w:rPr>
          <w:rFonts w:hint="eastAsia" w:ascii="仿宋" w:hAnsi="仿宋" w:eastAsia="仿宋" w:cs="仿宋"/>
          <w:sz w:val="32"/>
          <w:szCs w:val="32"/>
        </w:rPr>
        <w:t>严格控制矿产资源开发总量。按照承德市鹰手营子矿区发展功能定位，推进矿业供给侧结构性改革，压减与产能过剩行业配套的矿产资源开发总量。推进新型材料的开发和利用。</w:t>
      </w:r>
    </w:p>
    <w:p>
      <w:pPr>
        <w:pStyle w:val="57"/>
        <w:spacing w:afterLines="0" w:line="560" w:lineRule="exact"/>
        <w:ind w:firstLine="643"/>
        <w:rPr>
          <w:rFonts w:ascii="仿宋" w:hAnsi="仿宋" w:eastAsia="仿宋" w:cs="Times New Roman"/>
          <w:sz w:val="32"/>
          <w:szCs w:val="32"/>
        </w:rPr>
      </w:pPr>
      <w:r>
        <w:rPr>
          <w:rFonts w:hint="eastAsia" w:ascii="仿宋" w:hAnsi="仿宋" w:eastAsia="仿宋" w:cs="仿宋"/>
          <w:b/>
          <w:bCs/>
          <w:sz w:val="32"/>
          <w:szCs w:val="32"/>
        </w:rPr>
        <w:t>分区管控，优化布局。</w:t>
      </w:r>
      <w:r>
        <w:rPr>
          <w:rFonts w:hint="eastAsia" w:ascii="仿宋" w:hAnsi="仿宋" w:eastAsia="仿宋" w:cs="仿宋"/>
          <w:sz w:val="32"/>
          <w:szCs w:val="32"/>
        </w:rPr>
        <w:t>依据矿产资源分布、主体功能区和生态保护红线，充分发挥区域资源优势，科学划定管理功能分区，优化矿产勘查开发利用布局，严格矿山准入，限制小规模、低品位、高污染、高耗能矿产勘查开发。</w:t>
      </w:r>
    </w:p>
    <w:p>
      <w:pPr>
        <w:widowControl/>
        <w:spacing w:line="560" w:lineRule="exact"/>
        <w:ind w:firstLine="643"/>
        <w:rPr>
          <w:rFonts w:ascii="仿宋"/>
        </w:rPr>
      </w:pPr>
      <w:r>
        <w:rPr>
          <w:rFonts w:hint="eastAsia" w:ascii="仿宋" w:hAnsi="仿宋" w:cs="仿宋"/>
          <w:b/>
          <w:bCs/>
        </w:rPr>
        <w:t>资源整合，转型升级。</w:t>
      </w:r>
      <w:r>
        <w:rPr>
          <w:rFonts w:hint="eastAsia" w:ascii="仿宋" w:hAnsi="仿宋" w:cs="仿宋"/>
        </w:rPr>
        <w:t>全面落实资源节约集约优先战略，加快矿产资源利用方式转变，严格执行矿山最低开采规模准入制度，推进矿山结构调整和规模化、集约化开采。加强矿产资源综合勘查与评价，开辟资源勘查开发利用新领域，创新矿业发展方式，引导矿山企业向绿色产业转型升级。</w:t>
      </w:r>
    </w:p>
    <w:p>
      <w:pPr>
        <w:pStyle w:val="57"/>
        <w:spacing w:afterLines="0" w:line="560" w:lineRule="exact"/>
        <w:ind w:firstLine="643"/>
        <w:rPr>
          <w:rFonts w:ascii="仿宋" w:hAnsi="仿宋" w:eastAsia="仿宋" w:cs="Times New Roman"/>
          <w:sz w:val="32"/>
          <w:szCs w:val="32"/>
        </w:rPr>
      </w:pPr>
      <w:r>
        <w:rPr>
          <w:rFonts w:hint="eastAsia" w:ascii="仿宋" w:hAnsi="仿宋" w:eastAsia="仿宋" w:cs="仿宋"/>
          <w:b/>
          <w:bCs/>
          <w:sz w:val="32"/>
          <w:szCs w:val="32"/>
        </w:rPr>
        <w:t>改革创新，加强管理。</w:t>
      </w:r>
      <w:r>
        <w:rPr>
          <w:rFonts w:hint="eastAsia" w:ascii="仿宋" w:hAnsi="仿宋" w:eastAsia="仿宋" w:cs="仿宋"/>
          <w:sz w:val="32"/>
          <w:szCs w:val="32"/>
        </w:rPr>
        <w:t>深化矿产资源重点领域和关键环节改革，全面实行矿产资源有偿使用制度、矿业权审批制度改革。发挥市场配置资源主体作用，继续完善矿业权市场规则，理顺资源收益分配关系，推进矿产资源治理体系现代化。</w:t>
      </w:r>
    </w:p>
    <w:p>
      <w:pPr>
        <w:pStyle w:val="3"/>
        <w:spacing w:before="156" w:after="156"/>
        <w:rPr>
          <w:rFonts w:ascii="仿宋" w:cs="Times New Roman"/>
        </w:rPr>
      </w:pPr>
      <w:bookmarkStart w:id="23" w:name="_Toc41758813"/>
      <w:bookmarkStart w:id="24" w:name="_Toc292614414"/>
      <w:bookmarkStart w:id="25" w:name="_Toc312095559"/>
      <w:bookmarkStart w:id="26" w:name="_Toc311557279"/>
      <w:bookmarkStart w:id="27" w:name="_Toc288121084"/>
      <w:r>
        <w:rPr>
          <w:rFonts w:hint="eastAsia" w:ascii="仿宋" w:hAnsi="仿宋" w:cs="仿宋"/>
        </w:rPr>
        <w:t>第二节</w:t>
      </w:r>
      <w:r>
        <w:rPr>
          <w:rFonts w:ascii="仿宋" w:hAnsi="仿宋" w:cs="仿宋"/>
        </w:rPr>
        <w:t xml:space="preserve"> </w:t>
      </w:r>
      <w:r>
        <w:rPr>
          <w:rFonts w:hint="eastAsia" w:ascii="仿宋" w:hAnsi="仿宋" w:cs="仿宋"/>
        </w:rPr>
        <w:t>规划目标</w:t>
      </w:r>
      <w:bookmarkEnd w:id="23"/>
      <w:bookmarkEnd w:id="24"/>
      <w:bookmarkEnd w:id="25"/>
      <w:bookmarkEnd w:id="26"/>
      <w:bookmarkEnd w:id="27"/>
    </w:p>
    <w:p>
      <w:pPr>
        <w:pStyle w:val="4"/>
        <w:ind w:firstLine="643"/>
        <w:rPr>
          <w:rFonts w:ascii="仿宋"/>
        </w:rPr>
      </w:pPr>
      <w:r>
        <w:rPr>
          <w:rFonts w:hint="eastAsia" w:ascii="仿宋" w:hAnsi="仿宋" w:cs="仿宋"/>
        </w:rPr>
        <w:t>一、总体目标</w:t>
      </w:r>
    </w:p>
    <w:p>
      <w:pPr>
        <w:ind w:firstLine="640"/>
        <w:rPr>
          <w:rFonts w:ascii="仿宋"/>
        </w:rPr>
      </w:pPr>
      <w:r>
        <w:rPr>
          <w:rFonts w:ascii="仿宋" w:hAnsi="仿宋" w:cs="仿宋"/>
        </w:rPr>
        <w:t>2016</w:t>
      </w:r>
      <w:r>
        <w:rPr>
          <w:rFonts w:hint="eastAsia" w:ascii="仿宋" w:hAnsi="仿宋" w:cs="仿宋"/>
        </w:rPr>
        <w:t>～</w:t>
      </w:r>
      <w:r>
        <w:rPr>
          <w:rFonts w:ascii="仿宋" w:hAnsi="仿宋" w:cs="仿宋"/>
        </w:rPr>
        <w:t>2025</w:t>
      </w:r>
      <w:r>
        <w:rPr>
          <w:rFonts w:hint="eastAsia" w:ascii="仿宋" w:hAnsi="仿宋" w:cs="仿宋"/>
        </w:rPr>
        <w:t>年规划总体目标：在全面贯彻实施《河北省矿产资源管理条例》和落实《承德市矿产资源总体规划（</w:t>
      </w:r>
      <w:r>
        <w:rPr>
          <w:rFonts w:ascii="仿宋" w:hAnsi="仿宋" w:cs="仿宋"/>
        </w:rPr>
        <w:t>2016</w:t>
      </w:r>
      <w:r>
        <w:rPr>
          <w:rFonts w:hint="eastAsia" w:ascii="仿宋" w:hAnsi="仿宋" w:cs="仿宋"/>
        </w:rPr>
        <w:t>～</w:t>
      </w:r>
      <w:r>
        <w:rPr>
          <w:rFonts w:ascii="仿宋" w:hAnsi="仿宋" w:cs="仿宋"/>
        </w:rPr>
        <w:t>2020</w:t>
      </w:r>
      <w:r>
        <w:rPr>
          <w:rFonts w:hint="eastAsia" w:ascii="仿宋" w:hAnsi="仿宋" w:cs="仿宋"/>
        </w:rPr>
        <w:t>年）》的基础上，加强矿产资源勘查，不断增加优势矿产的资源储量，为我区国民经济和矿业可持续发展提供支撑；加大铜、铁及非金属矿产开发力度，提高矿产资源利用效率，建立结构优化、技术先进、高效低耗、布局合理、稳定高产、开发利用与矿山地质环境保护治理并重的矿山开发体系，实现矿产资源开发的集约化、规模化。</w:t>
      </w:r>
    </w:p>
    <w:p>
      <w:pPr>
        <w:pStyle w:val="4"/>
        <w:ind w:firstLine="643"/>
        <w:rPr>
          <w:rFonts w:ascii="仿宋"/>
        </w:rPr>
      </w:pPr>
      <w:r>
        <w:rPr>
          <w:rFonts w:hint="eastAsia" w:ascii="仿宋" w:hAnsi="仿宋" w:cs="仿宋"/>
        </w:rPr>
        <w:t>二、</w:t>
      </w:r>
      <w:r>
        <w:rPr>
          <w:rFonts w:ascii="仿宋" w:hAnsi="仿宋" w:cs="仿宋"/>
        </w:rPr>
        <w:t>2020</w:t>
      </w:r>
      <w:r>
        <w:rPr>
          <w:rFonts w:hint="eastAsia" w:ascii="仿宋" w:hAnsi="仿宋" w:cs="仿宋"/>
        </w:rPr>
        <w:t>年目标</w:t>
      </w:r>
    </w:p>
    <w:p>
      <w:pPr>
        <w:spacing w:line="560" w:lineRule="exact"/>
        <w:ind w:firstLine="640"/>
        <w:rPr>
          <w:rFonts w:ascii="仿宋"/>
        </w:rPr>
      </w:pPr>
      <w:r>
        <w:rPr>
          <w:rFonts w:hint="eastAsia" w:ascii="仿宋" w:hAnsi="仿宋" w:cs="仿宋"/>
        </w:rPr>
        <w:t>至</w:t>
      </w:r>
      <w:r>
        <w:rPr>
          <w:rFonts w:ascii="仿宋" w:hAnsi="仿宋" w:cs="仿宋"/>
        </w:rPr>
        <w:t>2020</w:t>
      </w:r>
      <w:r>
        <w:rPr>
          <w:rFonts w:hint="eastAsia" w:ascii="仿宋" w:hAnsi="仿宋" w:cs="仿宋"/>
        </w:rPr>
        <w:t>年，调整优化矿产资源开发利用布局和结构，推进绿色勘查开发和矿业转型升级，统筹生态环境综合整治，创新构建绿色矿业发展管理体系和长效机制，形成布局合理、集约高效、环境优良、区域经济良性发展的绿色矿业发展新模式，引领带动矿业转型升级。</w:t>
      </w:r>
    </w:p>
    <w:p>
      <w:pPr>
        <w:spacing w:line="560" w:lineRule="exact"/>
        <w:ind w:firstLine="640"/>
        <w:rPr>
          <w:rFonts w:ascii="仿宋"/>
        </w:rPr>
      </w:pPr>
      <w:r>
        <w:rPr>
          <w:rFonts w:hint="eastAsia" w:ascii="仿宋" w:hAnsi="仿宋" w:cs="仿宋"/>
        </w:rPr>
        <w:t>按照生态文明建设要求，矿产资源开发实施减量化调整，通过矿产资源深度整合，实现更高程度规模化、集约化矿产开发，到</w:t>
      </w:r>
      <w:r>
        <w:rPr>
          <w:rFonts w:ascii="仿宋" w:hAnsi="仿宋" w:cs="仿宋"/>
        </w:rPr>
        <w:t>2020</w:t>
      </w:r>
      <w:r>
        <w:rPr>
          <w:rFonts w:hint="eastAsia" w:ascii="仿宋" w:hAnsi="仿宋" w:cs="仿宋"/>
        </w:rPr>
        <w:t>年末，矿业产值预期将达到</w:t>
      </w:r>
      <w:r>
        <w:rPr>
          <w:rFonts w:ascii="仿宋" w:hAnsi="仿宋" w:cs="仿宋"/>
        </w:rPr>
        <w:t>1.5</w:t>
      </w:r>
      <w:r>
        <w:rPr>
          <w:rFonts w:hint="eastAsia" w:ascii="仿宋" w:hAnsi="仿宋" w:cs="仿宋"/>
        </w:rPr>
        <w:t>亿元。</w:t>
      </w:r>
    </w:p>
    <w:p>
      <w:pPr>
        <w:ind w:firstLine="640"/>
        <w:rPr>
          <w:rFonts w:ascii="仿宋"/>
        </w:rPr>
      </w:pPr>
      <w:r>
        <w:rPr>
          <w:rFonts w:hint="eastAsia" w:ascii="仿宋" w:hAnsi="仿宋" w:cs="仿宋"/>
        </w:rPr>
        <w:t>加强矿产勘查，在铁、铜、钼重要矿种已知矿区外围和深部加强接替资源勘查，充分挖掘资源潜力，增加资源储量，实现地质找矿新突破，预计新增矿产地</w:t>
      </w:r>
      <w:r>
        <w:rPr>
          <w:rFonts w:ascii="仿宋" w:hAnsi="仿宋" w:cs="仿宋"/>
        </w:rPr>
        <w:t>1</w:t>
      </w:r>
      <w:r>
        <w:rPr>
          <w:rFonts w:hint="eastAsia" w:ascii="仿宋" w:hAnsi="仿宋" w:cs="仿宋"/>
        </w:rPr>
        <w:t>～</w:t>
      </w:r>
      <w:r>
        <w:rPr>
          <w:rFonts w:ascii="仿宋" w:hAnsi="仿宋" w:cs="仿宋"/>
        </w:rPr>
        <w:t>2</w:t>
      </w:r>
      <w:r>
        <w:rPr>
          <w:rFonts w:hint="eastAsia" w:ascii="仿宋" w:hAnsi="仿宋" w:cs="仿宋"/>
        </w:rPr>
        <w:t>处，新增多金属矿资源储量</w:t>
      </w:r>
      <w:r>
        <w:rPr>
          <w:rFonts w:ascii="仿宋" w:hAnsi="仿宋" w:cs="仿宋"/>
        </w:rPr>
        <w:t>1</w:t>
      </w:r>
      <w:r>
        <w:rPr>
          <w:rFonts w:ascii="仿宋" w:cs="仿宋"/>
        </w:rPr>
        <w:t>0</w:t>
      </w:r>
      <w:r>
        <w:rPr>
          <w:rFonts w:hint="eastAsia" w:ascii="仿宋" w:hAnsi="仿宋" w:cs="仿宋"/>
        </w:rPr>
        <w:t>万吨，新增建筑用石灰岩矿</w:t>
      </w:r>
      <w:r>
        <w:rPr>
          <w:rFonts w:ascii="仿宋" w:hAnsi="仿宋" w:cs="仿宋"/>
        </w:rPr>
        <w:t>300</w:t>
      </w:r>
      <w:r>
        <w:rPr>
          <w:rFonts w:hint="eastAsia" w:ascii="仿宋" w:hAnsi="仿宋" w:cs="仿宋"/>
        </w:rPr>
        <w:t>万吨。</w:t>
      </w:r>
    </w:p>
    <w:p>
      <w:pPr>
        <w:ind w:firstLine="640"/>
        <w:rPr>
          <w:rFonts w:ascii="仿宋"/>
        </w:rPr>
      </w:pPr>
      <w:r>
        <w:rPr>
          <w:rFonts w:hint="eastAsia" w:ascii="仿宋" w:hAnsi="仿宋" w:cs="仿宋"/>
        </w:rPr>
        <w:t>通过实施矿山整合措施，进一步优化矿山结构，减少小型矿山比例，增加大中型矿山数量。</w:t>
      </w:r>
      <w:r>
        <w:rPr>
          <w:rFonts w:hint="eastAsia" w:ascii="仿宋" w:hAnsi="仿宋" w:cs="仿宋"/>
          <w:kern w:val="0"/>
        </w:rPr>
        <w:t>预期到</w:t>
      </w:r>
      <w:r>
        <w:rPr>
          <w:rFonts w:ascii="仿宋" w:hAnsi="仿宋" w:cs="仿宋"/>
          <w:kern w:val="0"/>
        </w:rPr>
        <w:t>2020</w:t>
      </w:r>
      <w:r>
        <w:rPr>
          <w:rFonts w:hint="eastAsia" w:ascii="仿宋" w:hAnsi="仿宋" w:cs="仿宋"/>
          <w:kern w:val="0"/>
        </w:rPr>
        <w:t>年，矿山数量控制在</w:t>
      </w:r>
      <w:r>
        <w:rPr>
          <w:rFonts w:ascii="仿宋" w:hAnsi="仿宋" w:cs="仿宋"/>
          <w:kern w:val="0"/>
        </w:rPr>
        <w:t>10</w:t>
      </w:r>
      <w:r>
        <w:rPr>
          <w:rFonts w:hint="eastAsia" w:ascii="仿宋" w:hAnsi="仿宋" w:cs="仿宋"/>
          <w:kern w:val="0"/>
        </w:rPr>
        <w:t>个以内，大中型矿山比例提高到</w:t>
      </w:r>
      <w:r>
        <w:rPr>
          <w:rFonts w:ascii="仿宋" w:hAnsi="仿宋" w:cs="仿宋"/>
          <w:kern w:val="0"/>
        </w:rPr>
        <w:t>1</w:t>
      </w:r>
      <w:r>
        <w:rPr>
          <w:rFonts w:ascii="仿宋" w:cs="仿宋"/>
          <w:kern w:val="0"/>
        </w:rPr>
        <w:t>0</w:t>
      </w:r>
      <w:r>
        <w:rPr>
          <w:rFonts w:ascii="仿宋" w:hAnsi="仿宋" w:cs="仿宋"/>
          <w:kern w:val="0"/>
        </w:rPr>
        <w:t>%</w:t>
      </w:r>
      <w:r>
        <w:rPr>
          <w:rFonts w:hint="eastAsia" w:ascii="仿宋" w:hAnsi="仿宋" w:cs="仿宋"/>
          <w:kern w:val="0"/>
        </w:rPr>
        <w:t>。</w:t>
      </w:r>
      <w:r>
        <w:rPr>
          <w:rFonts w:hint="eastAsia" w:ascii="仿宋" w:hAnsi="仿宋" w:cs="仿宋"/>
        </w:rPr>
        <w:t>主要矿产年开采总量控制指标：铁矿矿石开采总量控制在</w:t>
      </w:r>
      <w:r>
        <w:rPr>
          <w:rFonts w:ascii="仿宋" w:hAnsi="仿宋" w:cs="仿宋"/>
        </w:rPr>
        <w:t>60</w:t>
      </w:r>
      <w:r>
        <w:rPr>
          <w:rFonts w:hint="eastAsia" w:ascii="仿宋" w:hAnsi="仿宋" w:cs="仿宋"/>
        </w:rPr>
        <w:t>万吨；铜钼矿生产量控制在</w:t>
      </w:r>
      <w:r>
        <w:rPr>
          <w:rFonts w:ascii="仿宋" w:hAnsi="仿宋" w:cs="仿宋"/>
        </w:rPr>
        <w:t>100</w:t>
      </w:r>
      <w:r>
        <w:rPr>
          <w:rFonts w:hint="eastAsia" w:ascii="仿宋" w:hAnsi="仿宋" w:cs="仿宋"/>
        </w:rPr>
        <w:t>吨（金属量）；石灰岩开采量控制在</w:t>
      </w:r>
      <w:r>
        <w:rPr>
          <w:rFonts w:ascii="仿宋" w:hAnsi="仿宋" w:cs="仿宋"/>
        </w:rPr>
        <w:t>2</w:t>
      </w:r>
      <w:r>
        <w:rPr>
          <w:rFonts w:ascii="仿宋" w:cs="仿宋"/>
        </w:rPr>
        <w:t>0</w:t>
      </w:r>
      <w:r>
        <w:rPr>
          <w:rFonts w:hint="eastAsia" w:ascii="仿宋" w:hAnsi="仿宋" w:cs="仿宋"/>
        </w:rPr>
        <w:t>万吨。</w:t>
      </w:r>
    </w:p>
    <w:p>
      <w:pPr>
        <w:spacing w:line="560" w:lineRule="exact"/>
        <w:ind w:firstLine="640"/>
        <w:rPr>
          <w:rFonts w:ascii="仿宋"/>
        </w:rPr>
      </w:pPr>
      <w:r>
        <w:rPr>
          <w:rFonts w:hint="eastAsia" w:ascii="仿宋" w:hAnsi="仿宋" w:cs="仿宋"/>
        </w:rPr>
        <w:t>提高矿产资源综合利用水平。矿产资源利用效率明显提高，主要共伴生矿产得到有效利用。重点是提高共伴生铜、钼多金属矿的综合利用率。到</w:t>
      </w:r>
      <w:r>
        <w:rPr>
          <w:rFonts w:ascii="仿宋" w:hAnsi="仿宋" w:cs="仿宋"/>
        </w:rPr>
        <w:t>2020</w:t>
      </w:r>
      <w:r>
        <w:rPr>
          <w:rFonts w:hint="eastAsia" w:ascii="仿宋" w:hAnsi="仿宋" w:cs="仿宋"/>
        </w:rPr>
        <w:t>年，承德市鹰手营子矿区主要矿产“三率”水平达标率</w:t>
      </w:r>
      <w:r>
        <w:rPr>
          <w:rFonts w:ascii="仿宋" w:hAnsi="仿宋" w:cs="仿宋"/>
        </w:rPr>
        <w:t>95%</w:t>
      </w:r>
      <w:r>
        <w:rPr>
          <w:rFonts w:hint="eastAsia" w:ascii="仿宋" w:hAnsi="仿宋" w:cs="仿宋"/>
        </w:rPr>
        <w:t>以上，大中型矿山全部达到绿色矿山标准。</w:t>
      </w:r>
    </w:p>
    <w:p>
      <w:pPr>
        <w:ind w:firstLine="640"/>
        <w:rPr>
          <w:rFonts w:ascii="仿宋"/>
        </w:rPr>
      </w:pPr>
      <w:r>
        <w:rPr>
          <w:rFonts w:hint="eastAsia" w:ascii="仿宋" w:hAnsi="仿宋" w:cs="仿宋"/>
        </w:rPr>
        <w:t>矿山地质环境得到改善。完善矿山地质环境保护与治理恢复机制，加大矿山开采过程中的矿山地质环境监管力度。到</w:t>
      </w:r>
      <w:r>
        <w:rPr>
          <w:rFonts w:ascii="仿宋" w:hAnsi="仿宋" w:cs="仿宋"/>
        </w:rPr>
        <w:t>2020</w:t>
      </w:r>
      <w:r>
        <w:rPr>
          <w:rFonts w:hint="eastAsia" w:ascii="仿宋" w:hAnsi="仿宋" w:cs="仿宋"/>
        </w:rPr>
        <w:t>年，</w:t>
      </w:r>
      <w:r>
        <w:rPr>
          <w:rFonts w:hint="eastAsia" w:ascii="仿宋" w:hAnsi="仿宋" w:cs="仿宋"/>
          <w:kern w:val="0"/>
        </w:rPr>
        <w:t>新建、在建和生产矿山地质环境</w:t>
      </w:r>
      <w:r>
        <w:rPr>
          <w:rFonts w:hint="eastAsia" w:ascii="仿宋" w:hAnsi="仿宋" w:cs="仿宋"/>
        </w:rPr>
        <w:t>实现同步治理恢复；历史遗留矿山地质环境保护与治理恢复率达到</w:t>
      </w:r>
      <w:r>
        <w:rPr>
          <w:rFonts w:ascii="仿宋" w:hAnsi="仿宋" w:cs="仿宋"/>
        </w:rPr>
        <w:t>80%</w:t>
      </w:r>
      <w:r>
        <w:rPr>
          <w:rFonts w:hint="eastAsia" w:ascii="仿宋" w:hAnsi="仿宋" w:cs="仿宋"/>
        </w:rPr>
        <w:t>，逐步实现矿产资源开发与矿山地质环境保护协调发展。</w:t>
      </w:r>
    </w:p>
    <w:tbl>
      <w:tblPr>
        <w:tblStyle w:val="24"/>
        <w:tblW w:w="880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146"/>
        <w:gridCol w:w="7"/>
        <w:gridCol w:w="3215"/>
        <w:gridCol w:w="1100"/>
        <w:gridCol w:w="110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8804" w:type="dxa"/>
            <w:gridSpan w:val="7"/>
          </w:tcPr>
          <w:p>
            <w:pPr>
              <w:pStyle w:val="61"/>
              <w:spacing w:afterLines="0" w:line="320" w:lineRule="exact"/>
              <w:rPr>
                <w:rFonts w:ascii="仿宋" w:hAnsi="仿宋" w:eastAsia="仿宋" w:cs="Times New Roman"/>
                <w:b/>
                <w:bCs/>
              </w:rPr>
            </w:pPr>
            <w:r>
              <w:rPr>
                <w:rFonts w:hint="eastAsia" w:ascii="仿宋" w:hAnsi="仿宋" w:eastAsia="仿宋" w:cs="仿宋"/>
                <w:b/>
                <w:bCs/>
              </w:rPr>
              <w:t>专栏</w:t>
            </w:r>
            <w:r>
              <w:rPr>
                <w:rFonts w:ascii="仿宋" w:hAnsi="仿宋" w:eastAsia="仿宋" w:cs="仿宋"/>
                <w:b/>
                <w:bCs/>
              </w:rPr>
              <w:t xml:space="preserve">2  </w:t>
            </w:r>
            <w:r>
              <w:rPr>
                <w:rFonts w:hint="eastAsia" w:ascii="仿宋" w:hAnsi="仿宋" w:eastAsia="仿宋" w:cs="仿宋"/>
                <w:b/>
                <w:bCs/>
              </w:rPr>
              <w:t>矿产资源规划主要指标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trPr>
        <w:tc>
          <w:tcPr>
            <w:tcW w:w="1317" w:type="dxa"/>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类别</w:t>
            </w:r>
          </w:p>
        </w:tc>
        <w:tc>
          <w:tcPr>
            <w:tcW w:w="4368" w:type="dxa"/>
            <w:gridSpan w:val="3"/>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指标名称</w:t>
            </w:r>
          </w:p>
        </w:tc>
        <w:tc>
          <w:tcPr>
            <w:tcW w:w="1100" w:type="dxa"/>
            <w:tcMar>
              <w:left w:w="28" w:type="dxa"/>
              <w:right w:w="28" w:type="dxa"/>
            </w:tcMar>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单位</w:t>
            </w:r>
          </w:p>
        </w:tc>
        <w:tc>
          <w:tcPr>
            <w:tcW w:w="1100" w:type="dxa"/>
            <w:vAlign w:val="center"/>
          </w:tcPr>
          <w:p>
            <w:pPr>
              <w:pStyle w:val="61"/>
              <w:spacing w:afterLines="0" w:line="240" w:lineRule="auto"/>
              <w:rPr>
                <w:rFonts w:ascii="仿宋" w:hAnsi="仿宋" w:eastAsia="仿宋" w:cs="Times New Roman"/>
                <w:b/>
                <w:bCs/>
              </w:rPr>
            </w:pPr>
            <w:r>
              <w:rPr>
                <w:rFonts w:ascii="仿宋" w:hAnsi="仿宋" w:eastAsia="仿宋" w:cs="仿宋"/>
                <w:b/>
                <w:bCs/>
              </w:rPr>
              <w:t>2020</w:t>
            </w:r>
            <w:r>
              <w:rPr>
                <w:rFonts w:hint="eastAsia" w:ascii="仿宋" w:hAnsi="仿宋" w:eastAsia="仿宋" w:cs="仿宋"/>
                <w:b/>
                <w:bCs/>
              </w:rPr>
              <w:t>年</w:t>
            </w:r>
          </w:p>
        </w:tc>
        <w:tc>
          <w:tcPr>
            <w:tcW w:w="919" w:type="dxa"/>
            <w:vAlign w:val="center"/>
          </w:tcPr>
          <w:p>
            <w:pPr>
              <w:pStyle w:val="61"/>
              <w:spacing w:afterLines="0" w:line="240" w:lineRule="auto"/>
              <w:rPr>
                <w:rFonts w:ascii="仿宋" w:hAnsi="仿宋" w:eastAsia="仿宋" w:cs="Times New Roman"/>
                <w:b/>
                <w:bCs/>
              </w:rPr>
            </w:pPr>
            <w:r>
              <w:rPr>
                <w:rFonts w:hint="eastAsia" w:ascii="仿宋" w:hAnsi="仿宋" w:eastAsia="仿宋" w:cs="仿宋"/>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tcMar>
              <w:left w:w="0" w:type="dxa"/>
              <w:right w:w="0"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矿业经济发展</w:t>
            </w:r>
          </w:p>
        </w:tc>
        <w:tc>
          <w:tcPr>
            <w:tcW w:w="4368" w:type="dxa"/>
            <w:gridSpan w:val="3"/>
            <w:tcMar>
              <w:left w:w="57" w:type="dxa"/>
              <w:right w:w="57" w:type="dxa"/>
            </w:tcMar>
            <w:vAlign w:val="center"/>
          </w:tcPr>
          <w:p>
            <w:pPr>
              <w:pStyle w:val="61"/>
              <w:spacing w:afterLines="0" w:line="320" w:lineRule="exact"/>
              <w:rPr>
                <w:rFonts w:ascii="仿宋" w:hAnsi="仿宋" w:eastAsia="仿宋" w:cs="Times New Roman"/>
              </w:rPr>
            </w:pPr>
            <w:r>
              <w:rPr>
                <w:rFonts w:hint="eastAsia" w:ascii="仿宋" w:hAnsi="仿宋" w:eastAsia="仿宋" w:cs="仿宋"/>
              </w:rPr>
              <w:t>矿业产值</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亿元</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1.5</w:t>
            </w:r>
          </w:p>
        </w:tc>
        <w:tc>
          <w:tcPr>
            <w:tcW w:w="919" w:type="dxa"/>
            <w:tcMar>
              <w:left w:w="0" w:type="dxa"/>
              <w:right w:w="0"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restart"/>
            <w:tcMar>
              <w:left w:w="0" w:type="dxa"/>
              <w:right w:w="0"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矿产勘查</w:t>
            </w:r>
          </w:p>
        </w:tc>
        <w:tc>
          <w:tcPr>
            <w:tcW w:w="4368" w:type="dxa"/>
            <w:gridSpan w:val="3"/>
            <w:tcMar>
              <w:left w:w="57" w:type="dxa"/>
              <w:right w:w="57" w:type="dxa"/>
            </w:tcMar>
            <w:vAlign w:val="center"/>
          </w:tcPr>
          <w:p>
            <w:pPr>
              <w:pStyle w:val="61"/>
              <w:spacing w:afterLines="0" w:line="320" w:lineRule="exact"/>
              <w:rPr>
                <w:rFonts w:ascii="仿宋" w:hAnsi="仿宋" w:eastAsia="仿宋" w:cs="Times New Roman"/>
              </w:rPr>
            </w:pPr>
            <w:r>
              <w:rPr>
                <w:rFonts w:hint="eastAsia" w:ascii="仿宋" w:hAnsi="仿宋" w:eastAsia="仿宋" w:cs="仿宋"/>
              </w:rPr>
              <w:t>提交可供进一步勘查的后备产地</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处</w:t>
            </w:r>
          </w:p>
        </w:tc>
        <w:tc>
          <w:tcPr>
            <w:tcW w:w="1100" w:type="dxa"/>
            <w:tcMar>
              <w:left w:w="57" w:type="dxa"/>
              <w:right w:w="57" w:type="dxa"/>
            </w:tcMar>
            <w:vAlign w:val="center"/>
          </w:tcPr>
          <w:p>
            <w:pPr>
              <w:pStyle w:val="61"/>
              <w:spacing w:afterLines="0" w:line="240" w:lineRule="auto"/>
              <w:rPr>
                <w:rFonts w:ascii="仿宋" w:hAnsi="仿宋" w:eastAsia="仿宋" w:cs="Times New Roman"/>
              </w:rPr>
            </w:pPr>
            <w:r>
              <w:rPr>
                <w:rFonts w:ascii="仿宋" w:hAnsi="仿宋" w:eastAsia="仿宋" w:cs="仿宋"/>
              </w:rPr>
              <w:t>1-2</w:t>
            </w:r>
          </w:p>
        </w:tc>
        <w:tc>
          <w:tcPr>
            <w:tcW w:w="919" w:type="dxa"/>
            <w:vMerge w:val="restart"/>
            <w:tcMar>
              <w:left w:w="0" w:type="dxa"/>
              <w:right w:w="0"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317" w:type="dxa"/>
            <w:vMerge w:val="continue"/>
            <w:tcMar>
              <w:left w:w="0" w:type="dxa"/>
              <w:right w:w="0" w:type="dxa"/>
            </w:tcMar>
            <w:vAlign w:val="center"/>
          </w:tcPr>
          <w:p>
            <w:pPr>
              <w:pStyle w:val="61"/>
              <w:spacing w:afterLines="0" w:line="240" w:lineRule="auto"/>
              <w:rPr>
                <w:rFonts w:ascii="仿宋" w:hAnsi="仿宋" w:eastAsia="仿宋" w:cs="Times New Roman"/>
              </w:rPr>
            </w:pPr>
          </w:p>
        </w:tc>
        <w:tc>
          <w:tcPr>
            <w:tcW w:w="1146" w:type="dxa"/>
            <w:vMerge w:val="restart"/>
            <w:tcMar>
              <w:left w:w="57" w:type="dxa"/>
              <w:right w:w="57" w:type="dxa"/>
            </w:tcMar>
            <w:vAlign w:val="center"/>
          </w:tcPr>
          <w:p>
            <w:pPr>
              <w:pStyle w:val="61"/>
              <w:spacing w:afterLines="0" w:line="320" w:lineRule="exact"/>
              <w:rPr>
                <w:rFonts w:ascii="仿宋" w:hAnsi="仿宋" w:eastAsia="仿宋" w:cs="Times New Roman"/>
              </w:rPr>
            </w:pPr>
            <w:r>
              <w:rPr>
                <w:rFonts w:hint="eastAsia" w:ascii="仿宋" w:hAnsi="仿宋" w:eastAsia="仿宋" w:cs="仿宋"/>
              </w:rPr>
              <w:t>新增资源储量（</w:t>
            </w:r>
            <w:r>
              <w:rPr>
                <w:rFonts w:ascii="仿宋" w:hAnsi="仿宋" w:eastAsia="仿宋" w:cs="仿宋"/>
              </w:rPr>
              <w:t>333</w:t>
            </w:r>
            <w:r>
              <w:rPr>
                <w:rFonts w:hint="eastAsia" w:ascii="仿宋" w:hAnsi="仿宋" w:eastAsia="仿宋" w:cs="仿宋"/>
              </w:rPr>
              <w:t>及以上）</w:t>
            </w:r>
          </w:p>
        </w:tc>
        <w:tc>
          <w:tcPr>
            <w:tcW w:w="3222" w:type="dxa"/>
            <w:gridSpan w:val="2"/>
            <w:vAlign w:val="center"/>
          </w:tcPr>
          <w:p>
            <w:pPr>
              <w:pStyle w:val="61"/>
              <w:spacing w:afterLines="0" w:line="320" w:lineRule="exact"/>
              <w:rPr>
                <w:rFonts w:ascii="仿宋" w:hAnsi="仿宋" w:eastAsia="仿宋" w:cs="Times New Roman"/>
              </w:rPr>
            </w:pPr>
            <w:r>
              <w:rPr>
                <w:rFonts w:hint="eastAsia" w:ascii="仿宋" w:hAnsi="仿宋" w:eastAsia="仿宋" w:cs="仿宋"/>
              </w:rPr>
              <w:t>多金属矿</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万吨</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10</w:t>
            </w:r>
          </w:p>
        </w:tc>
        <w:tc>
          <w:tcPr>
            <w:tcW w:w="919" w:type="dxa"/>
            <w:vMerge w:val="continue"/>
            <w:tcMar>
              <w:left w:w="0" w:type="dxa"/>
              <w:right w:w="0" w:type="dxa"/>
            </w:tcMar>
            <w:vAlign w:val="center"/>
          </w:tcPr>
          <w:p>
            <w:pPr>
              <w:pStyle w:val="61"/>
              <w:spacing w:afterLines="0" w:line="240" w:lineRule="auto"/>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317" w:type="dxa"/>
            <w:vMerge w:val="continue"/>
            <w:tcMar>
              <w:left w:w="0" w:type="dxa"/>
              <w:right w:w="0" w:type="dxa"/>
            </w:tcMar>
            <w:vAlign w:val="center"/>
          </w:tcPr>
          <w:p>
            <w:pPr>
              <w:pStyle w:val="61"/>
              <w:spacing w:afterLines="0" w:line="240" w:lineRule="auto"/>
              <w:rPr>
                <w:rFonts w:ascii="仿宋" w:hAnsi="仿宋" w:eastAsia="仿宋" w:cs="Times New Roman"/>
              </w:rPr>
            </w:pPr>
          </w:p>
        </w:tc>
        <w:tc>
          <w:tcPr>
            <w:tcW w:w="1146" w:type="dxa"/>
            <w:vMerge w:val="continue"/>
            <w:tcMar>
              <w:left w:w="57" w:type="dxa"/>
              <w:right w:w="57" w:type="dxa"/>
            </w:tcMar>
            <w:vAlign w:val="center"/>
          </w:tcPr>
          <w:p>
            <w:pPr>
              <w:pStyle w:val="61"/>
              <w:spacing w:afterLines="0" w:line="320" w:lineRule="exact"/>
              <w:rPr>
                <w:rFonts w:ascii="仿宋" w:hAnsi="仿宋" w:eastAsia="仿宋" w:cs="Times New Roman"/>
              </w:rPr>
            </w:pPr>
          </w:p>
        </w:tc>
        <w:tc>
          <w:tcPr>
            <w:tcW w:w="3222" w:type="dxa"/>
            <w:gridSpan w:val="2"/>
            <w:vAlign w:val="center"/>
          </w:tcPr>
          <w:p>
            <w:pPr>
              <w:pStyle w:val="61"/>
              <w:spacing w:afterLines="0" w:line="320" w:lineRule="exact"/>
              <w:rPr>
                <w:rFonts w:ascii="仿宋" w:hAnsi="仿宋" w:eastAsia="仿宋" w:cs="Times New Roman"/>
              </w:rPr>
            </w:pPr>
            <w:r>
              <w:rPr>
                <w:rFonts w:hint="eastAsia" w:ascii="仿宋" w:hAnsi="仿宋" w:eastAsia="仿宋" w:cs="仿宋"/>
              </w:rPr>
              <w:t>石灰岩矿</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万吨</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300</w:t>
            </w:r>
          </w:p>
        </w:tc>
        <w:tc>
          <w:tcPr>
            <w:tcW w:w="919" w:type="dxa"/>
            <w:vMerge w:val="continue"/>
            <w:tcMar>
              <w:left w:w="0" w:type="dxa"/>
              <w:right w:w="0" w:type="dxa"/>
            </w:tcMar>
            <w:vAlign w:val="center"/>
          </w:tcPr>
          <w:p>
            <w:pPr>
              <w:pStyle w:val="61"/>
              <w:spacing w:afterLines="0" w:line="240" w:lineRule="auto"/>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restart"/>
            <w:tcMar>
              <w:left w:w="85" w:type="dxa"/>
              <w:right w:w="85" w:type="dxa"/>
            </w:tcMar>
            <w:vAlign w:val="center"/>
          </w:tcPr>
          <w:p>
            <w:pPr>
              <w:pStyle w:val="61"/>
              <w:spacing w:afterLines="0" w:line="260" w:lineRule="exact"/>
              <w:jc w:val="left"/>
              <w:rPr>
                <w:rFonts w:ascii="仿宋" w:hAnsi="仿宋" w:eastAsia="仿宋" w:cs="Times New Roman"/>
              </w:rPr>
            </w:pPr>
            <w:r>
              <w:rPr>
                <w:rFonts w:hint="eastAsia" w:ascii="仿宋" w:hAnsi="仿宋" w:eastAsia="仿宋" w:cs="仿宋"/>
              </w:rPr>
              <w:t>矿产资源合理开发利用与保护</w:t>
            </w:r>
          </w:p>
        </w:tc>
        <w:tc>
          <w:tcPr>
            <w:tcW w:w="1153" w:type="dxa"/>
            <w:gridSpan w:val="2"/>
            <w:vMerge w:val="restart"/>
            <w:tcMar>
              <w:left w:w="57" w:type="dxa"/>
              <w:right w:w="57" w:type="dxa"/>
            </w:tcMar>
            <w:vAlign w:val="center"/>
          </w:tcPr>
          <w:p>
            <w:pPr>
              <w:pStyle w:val="61"/>
              <w:spacing w:afterLines="0" w:line="360" w:lineRule="exact"/>
              <w:jc w:val="left"/>
              <w:rPr>
                <w:rFonts w:ascii="仿宋" w:hAnsi="仿宋" w:eastAsia="仿宋" w:cs="Times New Roman"/>
              </w:rPr>
            </w:pPr>
            <w:r>
              <w:rPr>
                <w:rFonts w:hint="eastAsia" w:ascii="仿宋" w:hAnsi="仿宋" w:eastAsia="仿宋" w:cs="仿宋"/>
              </w:rPr>
              <w:t>主要矿种开采总量</w:t>
            </w:r>
          </w:p>
        </w:tc>
        <w:tc>
          <w:tcPr>
            <w:tcW w:w="3215" w:type="dxa"/>
            <w:tcMar>
              <w:left w:w="85" w:type="dxa"/>
              <w:right w:w="85"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铁矿</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矿石</w:t>
            </w:r>
            <w:r>
              <w:rPr>
                <w:rFonts w:ascii="仿宋" w:hAnsi="仿宋" w:eastAsia="仿宋" w:cs="仿宋"/>
              </w:rPr>
              <w:t xml:space="preserve"> </w:t>
            </w:r>
            <w:r>
              <w:rPr>
                <w:rFonts w:hint="eastAsia" w:ascii="仿宋" w:hAnsi="仿宋" w:eastAsia="仿宋" w:cs="仿宋"/>
              </w:rPr>
              <w:t>万吨</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60</w:t>
            </w:r>
          </w:p>
        </w:tc>
        <w:tc>
          <w:tcPr>
            <w:tcW w:w="919" w:type="dxa"/>
            <w:vMerge w:val="restart"/>
            <w:tcMar>
              <w:left w:w="85" w:type="dxa"/>
              <w:right w:w="85" w:type="dxa"/>
            </w:tcMar>
            <w:vAlign w:val="center"/>
          </w:tcPr>
          <w:p>
            <w:pPr>
              <w:ind w:firstLine="0" w:firstLineChars="0"/>
              <w:jc w:val="center"/>
              <w:rPr>
                <w:rFonts w:ascii="仿宋"/>
                <w:sz w:val="21"/>
                <w:szCs w:val="21"/>
              </w:rPr>
            </w:pPr>
            <w:r>
              <w:rPr>
                <w:rFonts w:hint="eastAsia" w:ascii="仿宋" w:hAnsi="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continue"/>
            <w:tcMar>
              <w:left w:w="85" w:type="dxa"/>
              <w:right w:w="85" w:type="dxa"/>
            </w:tcMar>
            <w:vAlign w:val="center"/>
          </w:tcPr>
          <w:p>
            <w:pPr>
              <w:pStyle w:val="61"/>
              <w:spacing w:afterLines="0" w:line="260" w:lineRule="exact"/>
              <w:jc w:val="left"/>
              <w:rPr>
                <w:rFonts w:ascii="仿宋" w:hAnsi="仿宋" w:eastAsia="仿宋" w:cs="Times New Roman"/>
              </w:rPr>
            </w:pPr>
          </w:p>
        </w:tc>
        <w:tc>
          <w:tcPr>
            <w:tcW w:w="1153" w:type="dxa"/>
            <w:gridSpan w:val="2"/>
            <w:vMerge w:val="continue"/>
            <w:tcMar>
              <w:left w:w="57" w:type="dxa"/>
              <w:right w:w="57" w:type="dxa"/>
            </w:tcMar>
            <w:vAlign w:val="center"/>
          </w:tcPr>
          <w:p>
            <w:pPr>
              <w:pStyle w:val="61"/>
              <w:spacing w:afterLines="0" w:line="360" w:lineRule="exact"/>
              <w:jc w:val="left"/>
              <w:rPr>
                <w:rFonts w:ascii="仿宋" w:hAnsi="仿宋" w:eastAsia="仿宋" w:cs="Times New Roman"/>
              </w:rPr>
            </w:pPr>
          </w:p>
        </w:tc>
        <w:tc>
          <w:tcPr>
            <w:tcW w:w="3215" w:type="dxa"/>
            <w:tcMar>
              <w:left w:w="85" w:type="dxa"/>
              <w:right w:w="85"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铜钼矿</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金属量</w:t>
            </w:r>
            <w:r>
              <w:rPr>
                <w:rFonts w:ascii="仿宋" w:hAnsi="仿宋" w:eastAsia="仿宋" w:cs="仿宋"/>
              </w:rPr>
              <w:t xml:space="preserve"> </w:t>
            </w:r>
            <w:r>
              <w:rPr>
                <w:rFonts w:hint="eastAsia" w:ascii="仿宋" w:hAnsi="仿宋" w:eastAsia="仿宋" w:cs="仿宋"/>
              </w:rPr>
              <w:t>吨</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100</w:t>
            </w:r>
          </w:p>
        </w:tc>
        <w:tc>
          <w:tcPr>
            <w:tcW w:w="919" w:type="dxa"/>
            <w:vMerge w:val="continue"/>
            <w:tcMar>
              <w:left w:w="85" w:type="dxa"/>
              <w:right w:w="85" w:type="dxa"/>
            </w:tcMar>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continue"/>
            <w:tcMar>
              <w:left w:w="85" w:type="dxa"/>
              <w:right w:w="85" w:type="dxa"/>
            </w:tcMar>
            <w:vAlign w:val="center"/>
          </w:tcPr>
          <w:p>
            <w:pPr>
              <w:pStyle w:val="61"/>
              <w:spacing w:afterLines="0" w:line="260" w:lineRule="exact"/>
              <w:jc w:val="left"/>
              <w:rPr>
                <w:rFonts w:ascii="仿宋" w:hAnsi="仿宋" w:eastAsia="仿宋" w:cs="Times New Roman"/>
              </w:rPr>
            </w:pPr>
          </w:p>
        </w:tc>
        <w:tc>
          <w:tcPr>
            <w:tcW w:w="1153" w:type="dxa"/>
            <w:gridSpan w:val="2"/>
            <w:vMerge w:val="continue"/>
            <w:tcMar>
              <w:left w:w="57" w:type="dxa"/>
              <w:right w:w="57" w:type="dxa"/>
            </w:tcMar>
            <w:vAlign w:val="center"/>
          </w:tcPr>
          <w:p>
            <w:pPr>
              <w:pStyle w:val="61"/>
              <w:spacing w:afterLines="0" w:line="320" w:lineRule="exact"/>
              <w:jc w:val="left"/>
              <w:rPr>
                <w:rFonts w:ascii="仿宋" w:hAnsi="仿宋" w:eastAsia="仿宋" w:cs="Times New Roman"/>
              </w:rPr>
            </w:pPr>
          </w:p>
        </w:tc>
        <w:tc>
          <w:tcPr>
            <w:tcW w:w="3215" w:type="dxa"/>
            <w:tcMar>
              <w:left w:w="85" w:type="dxa"/>
              <w:right w:w="85"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石灰岩矿</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hint="eastAsia" w:ascii="仿宋" w:hAnsi="仿宋" w:eastAsia="仿宋" w:cs="仿宋"/>
              </w:rPr>
              <w:t>矿石</w:t>
            </w:r>
            <w:r>
              <w:rPr>
                <w:rFonts w:ascii="仿宋" w:hAnsi="仿宋" w:eastAsia="仿宋" w:cs="仿宋"/>
              </w:rPr>
              <w:t xml:space="preserve"> </w:t>
            </w:r>
            <w:r>
              <w:rPr>
                <w:rFonts w:hint="eastAsia" w:ascii="仿宋" w:hAnsi="仿宋" w:eastAsia="仿宋" w:cs="仿宋"/>
              </w:rPr>
              <w:t>万吨</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20</w:t>
            </w:r>
          </w:p>
        </w:tc>
        <w:tc>
          <w:tcPr>
            <w:tcW w:w="919" w:type="dxa"/>
            <w:vMerge w:val="continue"/>
            <w:tcMar>
              <w:left w:w="85" w:type="dxa"/>
              <w:right w:w="85" w:type="dxa"/>
            </w:tcMar>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restart"/>
            <w:tcMar>
              <w:left w:w="85" w:type="dxa"/>
              <w:right w:w="85" w:type="dxa"/>
            </w:tcMar>
            <w:vAlign w:val="center"/>
          </w:tcPr>
          <w:p>
            <w:pPr>
              <w:pStyle w:val="61"/>
              <w:spacing w:afterLines="0" w:line="260" w:lineRule="exact"/>
              <w:jc w:val="left"/>
              <w:rPr>
                <w:rFonts w:ascii="仿宋" w:hAnsi="仿宋" w:eastAsia="仿宋" w:cs="Times New Roman"/>
              </w:rPr>
            </w:pPr>
            <w:r>
              <w:rPr>
                <w:rFonts w:hint="eastAsia" w:ascii="仿宋" w:hAnsi="仿宋" w:eastAsia="仿宋" w:cs="仿宋"/>
              </w:rPr>
              <w:t>矿业转型升级与绿色矿业发展</w:t>
            </w:r>
          </w:p>
        </w:tc>
        <w:tc>
          <w:tcPr>
            <w:tcW w:w="4368" w:type="dxa"/>
            <w:gridSpan w:val="3"/>
            <w:tcMar>
              <w:left w:w="57" w:type="dxa"/>
              <w:right w:w="57" w:type="dxa"/>
            </w:tcMar>
            <w:vAlign w:val="center"/>
          </w:tcPr>
          <w:p>
            <w:pPr>
              <w:ind w:firstLine="0" w:firstLineChars="0"/>
              <w:jc w:val="center"/>
              <w:rPr>
                <w:rFonts w:ascii="仿宋"/>
                <w:sz w:val="21"/>
                <w:szCs w:val="21"/>
              </w:rPr>
            </w:pPr>
            <w:r>
              <w:rPr>
                <w:rFonts w:hint="eastAsia" w:ascii="仿宋" w:hAnsi="仿宋" w:cs="仿宋"/>
                <w:sz w:val="21"/>
                <w:szCs w:val="21"/>
              </w:rPr>
              <w:t>固体矿产矿山数量</w:t>
            </w:r>
          </w:p>
        </w:tc>
        <w:tc>
          <w:tcPr>
            <w:tcW w:w="1100" w:type="dxa"/>
            <w:tcMar>
              <w:left w:w="28" w:type="dxa"/>
              <w:right w:w="28" w:type="dxa"/>
            </w:tcMar>
            <w:vAlign w:val="center"/>
          </w:tcPr>
          <w:p>
            <w:pPr>
              <w:ind w:firstLine="0" w:firstLineChars="0"/>
              <w:jc w:val="center"/>
              <w:rPr>
                <w:rFonts w:ascii="仿宋"/>
                <w:sz w:val="21"/>
                <w:szCs w:val="21"/>
              </w:rPr>
            </w:pPr>
            <w:r>
              <w:rPr>
                <w:rFonts w:hint="eastAsia" w:ascii="仿宋" w:hAnsi="仿宋" w:cs="仿宋"/>
                <w:sz w:val="21"/>
                <w:szCs w:val="21"/>
              </w:rPr>
              <w:t>个</w:t>
            </w:r>
          </w:p>
        </w:tc>
        <w:tc>
          <w:tcPr>
            <w:tcW w:w="1100" w:type="dxa"/>
            <w:tcMar>
              <w:left w:w="57" w:type="dxa"/>
              <w:right w:w="57" w:type="dxa"/>
            </w:tcMar>
            <w:vAlign w:val="center"/>
          </w:tcPr>
          <w:p>
            <w:pPr>
              <w:ind w:firstLine="0" w:firstLineChars="0"/>
              <w:jc w:val="center"/>
              <w:rPr>
                <w:rFonts w:ascii="仿宋" w:hAnsi="仿宋" w:cs="仿宋"/>
                <w:sz w:val="21"/>
                <w:szCs w:val="21"/>
              </w:rPr>
            </w:pPr>
            <w:r>
              <w:rPr>
                <w:rFonts w:hint="eastAsia" w:ascii="仿宋" w:hAnsi="仿宋" w:cs="仿宋"/>
                <w:sz w:val="21"/>
                <w:szCs w:val="21"/>
              </w:rPr>
              <w:t>＜</w:t>
            </w:r>
            <w:r>
              <w:rPr>
                <w:rFonts w:ascii="仿宋" w:hAnsi="仿宋" w:cs="仿宋"/>
                <w:sz w:val="21"/>
                <w:szCs w:val="21"/>
              </w:rPr>
              <w:t>10</w:t>
            </w:r>
          </w:p>
        </w:tc>
        <w:tc>
          <w:tcPr>
            <w:tcW w:w="919" w:type="dxa"/>
            <w:vMerge w:val="restart"/>
            <w:tcMar>
              <w:left w:w="85" w:type="dxa"/>
              <w:right w:w="85" w:type="dxa"/>
            </w:tcMar>
            <w:vAlign w:val="center"/>
          </w:tcPr>
          <w:p>
            <w:pPr>
              <w:ind w:firstLine="0" w:firstLineChars="0"/>
              <w:jc w:val="center"/>
              <w:rPr>
                <w:rFonts w:ascii="仿宋"/>
                <w:sz w:val="21"/>
                <w:szCs w:val="21"/>
              </w:rPr>
            </w:pPr>
            <w:r>
              <w:rPr>
                <w:rFonts w:hint="eastAsia" w:ascii="仿宋" w:hAnsi="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continue"/>
            <w:tcMar>
              <w:left w:w="85" w:type="dxa"/>
              <w:right w:w="85" w:type="dxa"/>
            </w:tcMar>
          </w:tcPr>
          <w:p>
            <w:pPr>
              <w:pStyle w:val="61"/>
              <w:spacing w:afterLines="0" w:line="260" w:lineRule="exact"/>
              <w:jc w:val="left"/>
              <w:rPr>
                <w:rFonts w:ascii="仿宋" w:hAnsi="仿宋" w:eastAsia="仿宋" w:cs="Times New Roman"/>
              </w:rPr>
            </w:pPr>
          </w:p>
        </w:tc>
        <w:tc>
          <w:tcPr>
            <w:tcW w:w="4368" w:type="dxa"/>
            <w:gridSpan w:val="3"/>
            <w:tcMar>
              <w:left w:w="57" w:type="dxa"/>
              <w:right w:w="57" w:type="dxa"/>
            </w:tcMar>
            <w:vAlign w:val="center"/>
          </w:tcPr>
          <w:p>
            <w:pPr>
              <w:spacing w:line="320" w:lineRule="exact"/>
              <w:ind w:firstLine="0" w:firstLineChars="0"/>
              <w:jc w:val="center"/>
              <w:rPr>
                <w:rFonts w:ascii="仿宋"/>
                <w:sz w:val="21"/>
                <w:szCs w:val="21"/>
              </w:rPr>
            </w:pPr>
            <w:r>
              <w:rPr>
                <w:rFonts w:hint="eastAsia" w:ascii="仿宋" w:hAnsi="仿宋" w:cs="仿宋"/>
                <w:sz w:val="21"/>
                <w:szCs w:val="21"/>
              </w:rPr>
              <w:t>大中型固体矿山比例</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ascii="仿宋" w:hAnsi="仿宋" w:eastAsia="仿宋" w:cs="仿宋"/>
                <w:color w:val="000000"/>
              </w:rPr>
              <w:t>%</w:t>
            </w:r>
          </w:p>
        </w:tc>
        <w:tc>
          <w:tcPr>
            <w:tcW w:w="1100" w:type="dxa"/>
            <w:tcMar>
              <w:left w:w="57" w:type="dxa"/>
              <w:right w:w="57" w:type="dxa"/>
            </w:tcMar>
            <w:vAlign w:val="center"/>
          </w:tcPr>
          <w:p>
            <w:pPr>
              <w:pStyle w:val="61"/>
              <w:spacing w:afterLines="0" w:line="360" w:lineRule="exact"/>
              <w:rPr>
                <w:rFonts w:ascii="仿宋" w:hAnsi="仿宋" w:eastAsia="仿宋" w:cs="仿宋"/>
              </w:rPr>
            </w:pPr>
            <w:r>
              <w:rPr>
                <w:rFonts w:hint="eastAsia" w:ascii="仿宋" w:hAnsi="仿宋" w:eastAsia="仿宋" w:cs="仿宋"/>
              </w:rPr>
              <w:t>＞</w:t>
            </w:r>
            <w:r>
              <w:rPr>
                <w:rFonts w:ascii="仿宋" w:hAnsi="仿宋" w:eastAsia="仿宋" w:cs="仿宋"/>
              </w:rPr>
              <w:t>10</w:t>
            </w:r>
          </w:p>
        </w:tc>
        <w:tc>
          <w:tcPr>
            <w:tcW w:w="919" w:type="dxa"/>
            <w:vMerge w:val="continue"/>
            <w:tcMar>
              <w:left w:w="85" w:type="dxa"/>
              <w:right w:w="85" w:type="dxa"/>
            </w:tcMar>
            <w:vAlign w:val="center"/>
          </w:tcPr>
          <w:p>
            <w:pPr>
              <w:ind w:firstLine="0" w:firstLineChars="0"/>
              <w:jc w:val="center"/>
              <w:rPr>
                <w:rFonts w:asci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continue"/>
            <w:tcMar>
              <w:left w:w="85" w:type="dxa"/>
              <w:right w:w="85" w:type="dxa"/>
            </w:tcMar>
          </w:tcPr>
          <w:p>
            <w:pPr>
              <w:pStyle w:val="61"/>
              <w:spacing w:afterLines="0" w:line="260" w:lineRule="exact"/>
              <w:jc w:val="left"/>
              <w:rPr>
                <w:rFonts w:ascii="仿宋" w:hAnsi="仿宋" w:eastAsia="仿宋" w:cs="Times New Roman"/>
              </w:rPr>
            </w:pPr>
          </w:p>
        </w:tc>
        <w:tc>
          <w:tcPr>
            <w:tcW w:w="4368" w:type="dxa"/>
            <w:gridSpan w:val="3"/>
            <w:tcMar>
              <w:left w:w="57" w:type="dxa"/>
              <w:right w:w="57" w:type="dxa"/>
            </w:tcMar>
            <w:vAlign w:val="center"/>
          </w:tcPr>
          <w:p>
            <w:pPr>
              <w:pStyle w:val="61"/>
              <w:spacing w:afterLines="0" w:line="320" w:lineRule="exact"/>
              <w:rPr>
                <w:rFonts w:ascii="仿宋" w:hAnsi="仿宋" w:eastAsia="仿宋" w:cs="Times New Roman"/>
                <w:color w:val="000000"/>
              </w:rPr>
            </w:pPr>
            <w:r>
              <w:rPr>
                <w:rFonts w:hint="eastAsia" w:ascii="仿宋" w:hAnsi="仿宋" w:eastAsia="仿宋" w:cs="仿宋"/>
              </w:rPr>
              <w:t>矿山“三率”水平达标率</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ascii="仿宋" w:hAnsi="仿宋" w:eastAsia="仿宋" w:cs="仿宋"/>
                <w:color w:val="000000"/>
              </w:rPr>
              <w:t>%</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95</w:t>
            </w:r>
          </w:p>
        </w:tc>
        <w:tc>
          <w:tcPr>
            <w:tcW w:w="919" w:type="dxa"/>
            <w:tcMar>
              <w:left w:w="85" w:type="dxa"/>
              <w:right w:w="85" w:type="dxa"/>
            </w:tcMar>
            <w:vAlign w:val="center"/>
          </w:tcPr>
          <w:p>
            <w:pPr>
              <w:ind w:firstLine="0" w:firstLineChars="0"/>
              <w:jc w:val="center"/>
              <w:rPr>
                <w:rFonts w:ascii="仿宋"/>
                <w:sz w:val="21"/>
                <w:szCs w:val="21"/>
              </w:rPr>
            </w:pPr>
            <w:r>
              <w:rPr>
                <w:rFonts w:hint="eastAsia" w:ascii="仿宋" w:hAnsi="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continue"/>
            <w:tcMar>
              <w:left w:w="85" w:type="dxa"/>
              <w:right w:w="85" w:type="dxa"/>
            </w:tcMar>
          </w:tcPr>
          <w:p>
            <w:pPr>
              <w:pStyle w:val="61"/>
              <w:spacing w:afterLines="0" w:line="260" w:lineRule="exact"/>
              <w:jc w:val="left"/>
              <w:rPr>
                <w:rFonts w:ascii="仿宋" w:hAnsi="仿宋" w:eastAsia="仿宋" w:cs="Times New Roman"/>
              </w:rPr>
            </w:pPr>
          </w:p>
        </w:tc>
        <w:tc>
          <w:tcPr>
            <w:tcW w:w="4368" w:type="dxa"/>
            <w:gridSpan w:val="3"/>
            <w:tcMar>
              <w:left w:w="57" w:type="dxa"/>
              <w:right w:w="57" w:type="dxa"/>
            </w:tcMar>
            <w:vAlign w:val="center"/>
          </w:tcPr>
          <w:p>
            <w:pPr>
              <w:pStyle w:val="61"/>
              <w:spacing w:afterLines="0" w:line="240" w:lineRule="auto"/>
              <w:rPr>
                <w:rFonts w:ascii="宋体" w:hAnsi="宋体" w:eastAsia="宋体" w:cs="宋体"/>
                <w:color w:val="000000"/>
              </w:rPr>
            </w:pPr>
            <w:r>
              <w:rPr>
                <w:rFonts w:hint="eastAsia" w:ascii="仿宋" w:hAnsi="仿宋" w:eastAsia="仿宋" w:cs="仿宋"/>
                <w:color w:val="000000"/>
              </w:rPr>
              <w:t>绿色矿山数量（比例）</w:t>
            </w:r>
          </w:p>
        </w:tc>
        <w:tc>
          <w:tcPr>
            <w:tcW w:w="1100" w:type="dxa"/>
            <w:tcMar>
              <w:left w:w="28" w:type="dxa"/>
              <w:right w:w="28" w:type="dxa"/>
            </w:tcMar>
            <w:vAlign w:val="center"/>
          </w:tcPr>
          <w:p>
            <w:pPr>
              <w:pStyle w:val="61"/>
              <w:spacing w:afterLines="0" w:line="240" w:lineRule="auto"/>
              <w:rPr>
                <w:rFonts w:ascii="仿宋" w:hAnsi="仿宋" w:eastAsia="仿宋" w:cs="仿宋"/>
                <w:color w:val="000000"/>
              </w:rPr>
            </w:pPr>
            <w:r>
              <w:rPr>
                <w:rFonts w:hint="eastAsia" w:ascii="仿宋" w:hAnsi="仿宋" w:eastAsia="仿宋" w:cs="仿宋"/>
                <w:color w:val="000000"/>
              </w:rPr>
              <w:t>%</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hint="eastAsia" w:ascii="仿宋" w:hAnsi="仿宋" w:eastAsia="仿宋" w:cs="仿宋"/>
              </w:rPr>
              <w:t>1</w:t>
            </w:r>
            <w:r>
              <w:rPr>
                <w:rFonts w:ascii="仿宋" w:hAnsi="仿宋" w:eastAsia="仿宋" w:cs="仿宋"/>
              </w:rPr>
              <w:t>0</w:t>
            </w:r>
          </w:p>
        </w:tc>
        <w:tc>
          <w:tcPr>
            <w:tcW w:w="919" w:type="dxa"/>
            <w:tcMar>
              <w:left w:w="85" w:type="dxa"/>
              <w:right w:w="85" w:type="dxa"/>
            </w:tcMar>
            <w:vAlign w:val="center"/>
          </w:tcPr>
          <w:p>
            <w:pPr>
              <w:ind w:firstLine="0" w:firstLineChars="0"/>
              <w:jc w:val="center"/>
              <w:rPr>
                <w:rFonts w:ascii="仿宋" w:hAnsi="仿宋" w:cs="仿宋"/>
                <w:sz w:val="21"/>
                <w:szCs w:val="21"/>
              </w:rPr>
            </w:pPr>
            <w:r>
              <w:rPr>
                <w:rFonts w:ascii="仿宋" w:hAnsi="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restart"/>
            <w:tcMar>
              <w:left w:w="85" w:type="dxa"/>
              <w:right w:w="85" w:type="dxa"/>
            </w:tcMar>
            <w:vAlign w:val="center"/>
          </w:tcPr>
          <w:p>
            <w:pPr>
              <w:spacing w:line="260" w:lineRule="exact"/>
              <w:ind w:firstLine="0" w:firstLineChars="0"/>
              <w:rPr>
                <w:rFonts w:ascii="仿宋"/>
                <w:sz w:val="21"/>
                <w:szCs w:val="21"/>
              </w:rPr>
            </w:pPr>
            <w:r>
              <w:rPr>
                <w:rFonts w:hint="eastAsia" w:ascii="仿宋" w:hAnsi="仿宋" w:cs="仿宋"/>
                <w:sz w:val="21"/>
                <w:szCs w:val="21"/>
              </w:rPr>
              <w:t>矿山地质环境保护与治理恢复</w:t>
            </w:r>
          </w:p>
        </w:tc>
        <w:tc>
          <w:tcPr>
            <w:tcW w:w="4368" w:type="dxa"/>
            <w:gridSpan w:val="3"/>
            <w:tcMar>
              <w:left w:w="57" w:type="dxa"/>
              <w:right w:w="57" w:type="dxa"/>
            </w:tcMar>
            <w:vAlign w:val="center"/>
          </w:tcPr>
          <w:p>
            <w:pPr>
              <w:pStyle w:val="61"/>
              <w:spacing w:afterLines="0" w:line="320" w:lineRule="exact"/>
              <w:rPr>
                <w:rFonts w:ascii="仿宋" w:hAnsi="仿宋" w:eastAsia="仿宋" w:cs="Times New Roman"/>
                <w:color w:val="000000"/>
              </w:rPr>
            </w:pPr>
            <w:r>
              <w:rPr>
                <w:rFonts w:hint="eastAsia" w:ascii="仿宋" w:hAnsi="仿宋" w:eastAsia="仿宋" w:cs="仿宋"/>
              </w:rPr>
              <w:t>历史遗留矿山地质环境治理恢复率</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ascii="仿宋" w:hAnsi="仿宋" w:eastAsia="仿宋" w:cs="仿宋"/>
                <w:color w:val="000000"/>
              </w:rPr>
              <w:t>%</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80</w:t>
            </w:r>
          </w:p>
        </w:tc>
        <w:tc>
          <w:tcPr>
            <w:tcW w:w="919" w:type="dxa"/>
            <w:vMerge w:val="restart"/>
            <w:tcMar>
              <w:left w:w="85" w:type="dxa"/>
              <w:right w:w="85" w:type="dxa"/>
            </w:tcMar>
            <w:vAlign w:val="center"/>
          </w:tcPr>
          <w:p>
            <w:pPr>
              <w:ind w:firstLine="0" w:firstLineChars="0"/>
              <w:jc w:val="center"/>
              <w:rPr>
                <w:rFonts w:ascii="仿宋"/>
                <w:sz w:val="21"/>
                <w:szCs w:val="21"/>
              </w:rPr>
            </w:pPr>
            <w:r>
              <w:rPr>
                <w:rFonts w:hint="eastAsia" w:ascii="仿宋" w:hAnsi="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317" w:type="dxa"/>
            <w:vMerge w:val="continue"/>
            <w:tcMar>
              <w:left w:w="57" w:type="dxa"/>
              <w:right w:w="57" w:type="dxa"/>
            </w:tcMar>
          </w:tcPr>
          <w:p>
            <w:pPr>
              <w:pStyle w:val="61"/>
              <w:spacing w:afterLines="0" w:line="240" w:lineRule="auto"/>
              <w:rPr>
                <w:rFonts w:ascii="仿宋" w:hAnsi="仿宋" w:eastAsia="仿宋" w:cs="Times New Roman"/>
              </w:rPr>
            </w:pPr>
          </w:p>
        </w:tc>
        <w:tc>
          <w:tcPr>
            <w:tcW w:w="4368" w:type="dxa"/>
            <w:gridSpan w:val="3"/>
            <w:tcMar>
              <w:left w:w="57" w:type="dxa"/>
              <w:right w:w="57" w:type="dxa"/>
            </w:tcMar>
            <w:vAlign w:val="center"/>
          </w:tcPr>
          <w:p>
            <w:pPr>
              <w:pStyle w:val="61"/>
              <w:spacing w:afterLines="0" w:line="320" w:lineRule="exact"/>
              <w:rPr>
                <w:rFonts w:ascii="仿宋" w:hAnsi="仿宋" w:eastAsia="仿宋" w:cs="Times New Roman"/>
                <w:color w:val="000000"/>
              </w:rPr>
            </w:pPr>
            <w:r>
              <w:rPr>
                <w:rFonts w:hint="eastAsia" w:ascii="仿宋" w:hAnsi="仿宋" w:eastAsia="仿宋" w:cs="仿宋"/>
              </w:rPr>
              <w:t>新建、在建矿区土地复垦率</w:t>
            </w:r>
          </w:p>
        </w:tc>
        <w:tc>
          <w:tcPr>
            <w:tcW w:w="1100" w:type="dxa"/>
            <w:tcMar>
              <w:left w:w="28" w:type="dxa"/>
              <w:right w:w="28" w:type="dxa"/>
            </w:tcMar>
            <w:vAlign w:val="center"/>
          </w:tcPr>
          <w:p>
            <w:pPr>
              <w:pStyle w:val="61"/>
              <w:spacing w:afterLines="0" w:line="240" w:lineRule="auto"/>
              <w:rPr>
                <w:rFonts w:ascii="仿宋" w:hAnsi="仿宋" w:eastAsia="仿宋" w:cs="Times New Roman"/>
              </w:rPr>
            </w:pPr>
            <w:r>
              <w:rPr>
                <w:rFonts w:ascii="仿宋" w:hAnsi="仿宋" w:eastAsia="仿宋" w:cs="仿宋"/>
                <w:color w:val="000000"/>
              </w:rPr>
              <w:t>%</w:t>
            </w:r>
          </w:p>
        </w:tc>
        <w:tc>
          <w:tcPr>
            <w:tcW w:w="1100" w:type="dxa"/>
            <w:tcMar>
              <w:left w:w="57" w:type="dxa"/>
              <w:right w:w="57" w:type="dxa"/>
            </w:tcMar>
            <w:vAlign w:val="center"/>
          </w:tcPr>
          <w:p>
            <w:pPr>
              <w:pStyle w:val="61"/>
              <w:spacing w:afterLines="0" w:line="240" w:lineRule="auto"/>
              <w:rPr>
                <w:rFonts w:ascii="仿宋" w:hAnsi="仿宋" w:eastAsia="仿宋" w:cs="仿宋"/>
              </w:rPr>
            </w:pPr>
            <w:r>
              <w:rPr>
                <w:rFonts w:ascii="仿宋" w:hAnsi="仿宋" w:eastAsia="仿宋" w:cs="仿宋"/>
              </w:rPr>
              <w:t>100</w:t>
            </w:r>
          </w:p>
        </w:tc>
        <w:tc>
          <w:tcPr>
            <w:tcW w:w="919" w:type="dxa"/>
            <w:vMerge w:val="continue"/>
            <w:tcMar>
              <w:left w:w="57" w:type="dxa"/>
              <w:right w:w="57" w:type="dxa"/>
            </w:tcMar>
            <w:vAlign w:val="center"/>
          </w:tcPr>
          <w:p>
            <w:pPr>
              <w:ind w:firstLine="0" w:firstLineChars="0"/>
              <w:jc w:val="center"/>
              <w:rPr>
                <w:rFonts w:ascii="仿宋"/>
                <w:sz w:val="21"/>
                <w:szCs w:val="21"/>
              </w:rPr>
            </w:pPr>
          </w:p>
        </w:tc>
      </w:tr>
    </w:tbl>
    <w:p>
      <w:pPr>
        <w:pStyle w:val="4"/>
        <w:ind w:firstLine="643"/>
        <w:rPr>
          <w:rFonts w:ascii="仿宋"/>
        </w:rPr>
      </w:pPr>
      <w:r>
        <w:rPr>
          <w:rFonts w:hint="eastAsia" w:ascii="仿宋" w:hAnsi="仿宋" w:cs="仿宋"/>
        </w:rPr>
        <w:t>三、</w:t>
      </w:r>
      <w:r>
        <w:rPr>
          <w:rFonts w:ascii="仿宋" w:hAnsi="仿宋" w:cs="仿宋"/>
        </w:rPr>
        <w:t>2025</w:t>
      </w:r>
      <w:r>
        <w:rPr>
          <w:rFonts w:hint="eastAsia" w:ascii="仿宋" w:hAnsi="仿宋" w:cs="仿宋"/>
        </w:rPr>
        <w:t>年目标展望</w:t>
      </w:r>
    </w:p>
    <w:p>
      <w:pPr>
        <w:ind w:firstLine="640"/>
        <w:rPr>
          <w:rFonts w:ascii="仿宋"/>
        </w:rPr>
      </w:pPr>
      <w:r>
        <w:rPr>
          <w:rFonts w:hint="eastAsia" w:ascii="仿宋" w:hAnsi="仿宋" w:cs="仿宋"/>
        </w:rPr>
        <w:t>全区矿产资源管理能力与综合服务水平显著提高，矿业经济总量进一步扩大，对区域经济社会发展的保障能力进一步增强；矿产资源开发利用布局、结构与方式更趋合理，矿产资源综合利用水平显著提升；矿产资源开发利用与地质环境保护更加协调，到</w:t>
      </w:r>
      <w:r>
        <w:rPr>
          <w:rFonts w:ascii="仿宋" w:hAnsi="仿宋" w:cs="仿宋"/>
        </w:rPr>
        <w:t>2025</w:t>
      </w:r>
      <w:r>
        <w:rPr>
          <w:rFonts w:hint="eastAsia" w:ascii="仿宋" w:hAnsi="仿宋" w:cs="仿宋"/>
        </w:rPr>
        <w:t>年，绿色矿山格局基本建立，大中型矿山基本达到绿色矿山标准；小型矿山企业按照绿色矿山条件严格规范管理，历史遗留矿山地质环境全部得到治理恢复。</w:t>
      </w:r>
    </w:p>
    <w:p>
      <w:pPr>
        <w:pStyle w:val="2"/>
        <w:spacing w:before="156" w:after="156"/>
        <w:rPr>
          <w:rStyle w:val="29"/>
          <w:rFonts w:ascii="仿宋"/>
          <w:b/>
          <w:bCs/>
          <w:sz w:val="32"/>
          <w:szCs w:val="32"/>
        </w:rPr>
      </w:pPr>
      <w:r>
        <w:br w:type="page"/>
      </w:r>
      <w:bookmarkStart w:id="28" w:name="_Toc292614415"/>
      <w:bookmarkStart w:id="29" w:name="_Toc311557280"/>
      <w:bookmarkStart w:id="30" w:name="_Toc312095560"/>
      <w:bookmarkStart w:id="31" w:name="_Toc41758814"/>
      <w:r>
        <w:rPr>
          <w:rStyle w:val="29"/>
          <w:rFonts w:hint="eastAsia" w:ascii="仿宋" w:hAnsi="仿宋" w:cs="仿宋"/>
          <w:b/>
          <w:bCs/>
          <w:sz w:val="32"/>
          <w:szCs w:val="32"/>
        </w:rPr>
        <w:t>第三章</w:t>
      </w:r>
      <w:r>
        <w:rPr>
          <w:rStyle w:val="29"/>
          <w:rFonts w:ascii="仿宋" w:hAnsi="仿宋" w:cs="仿宋"/>
          <w:b/>
          <w:bCs/>
          <w:sz w:val="32"/>
          <w:szCs w:val="32"/>
        </w:rPr>
        <w:t xml:space="preserve"> </w:t>
      </w:r>
      <w:r>
        <w:rPr>
          <w:rStyle w:val="29"/>
          <w:rFonts w:hint="eastAsia" w:ascii="仿宋" w:hAnsi="仿宋" w:cs="仿宋"/>
          <w:b/>
          <w:bCs/>
          <w:sz w:val="32"/>
          <w:szCs w:val="32"/>
        </w:rPr>
        <w:t>矿产</w:t>
      </w:r>
      <w:bookmarkEnd w:id="28"/>
      <w:bookmarkEnd w:id="29"/>
      <w:bookmarkEnd w:id="30"/>
      <w:r>
        <w:rPr>
          <w:rStyle w:val="29"/>
          <w:rFonts w:hint="eastAsia" w:ascii="仿宋" w:hAnsi="仿宋" w:cs="仿宋"/>
          <w:b/>
          <w:bCs/>
          <w:sz w:val="32"/>
          <w:szCs w:val="32"/>
        </w:rPr>
        <w:t>开发与资源产业布局</w:t>
      </w:r>
      <w:bookmarkEnd w:id="31"/>
    </w:p>
    <w:p>
      <w:pPr>
        <w:pStyle w:val="3"/>
        <w:spacing w:before="156" w:after="156"/>
        <w:ind w:firstLine="643"/>
        <w:rPr>
          <w:rFonts w:ascii="仿宋" w:cs="Times New Roman"/>
        </w:rPr>
      </w:pPr>
      <w:bookmarkStart w:id="32" w:name="_Toc41758815"/>
      <w:r>
        <w:rPr>
          <w:rFonts w:hint="eastAsia" w:ascii="仿宋" w:hAnsi="仿宋" w:cs="仿宋"/>
        </w:rPr>
        <w:t>第一节</w:t>
      </w:r>
      <w:r>
        <w:rPr>
          <w:rFonts w:ascii="仿宋" w:hAnsi="仿宋" w:cs="仿宋"/>
        </w:rPr>
        <w:t xml:space="preserve"> </w:t>
      </w:r>
      <w:r>
        <w:rPr>
          <w:rFonts w:hint="eastAsia" w:ascii="仿宋" w:hAnsi="仿宋" w:cs="仿宋"/>
        </w:rPr>
        <w:t>矿产资源勘查开发调控方向</w:t>
      </w:r>
      <w:bookmarkEnd w:id="32"/>
    </w:p>
    <w:p>
      <w:pPr>
        <w:pStyle w:val="4"/>
        <w:ind w:firstLine="643" w:firstLineChars="0"/>
        <w:rPr>
          <w:rFonts w:ascii="仿宋"/>
        </w:rPr>
      </w:pPr>
      <w:r>
        <w:rPr>
          <w:rFonts w:hint="eastAsia" w:ascii="仿宋" w:hAnsi="仿宋" w:cs="仿宋"/>
          <w:b w:val="0"/>
          <w:bCs w:val="0"/>
        </w:rPr>
        <w:t>一、</w:t>
      </w:r>
      <w:r>
        <w:rPr>
          <w:rStyle w:val="32"/>
          <w:rFonts w:hint="eastAsia" w:ascii="仿宋" w:hAnsi="仿宋" w:cs="仿宋"/>
          <w:b/>
          <w:bCs/>
          <w:sz w:val="32"/>
          <w:szCs w:val="32"/>
        </w:rPr>
        <w:t>矿产资源勘查调控方向</w:t>
      </w:r>
    </w:p>
    <w:p>
      <w:pPr>
        <w:ind w:firstLine="643"/>
        <w:rPr>
          <w:rFonts w:ascii="仿宋"/>
          <w:b/>
          <w:bCs/>
        </w:rPr>
      </w:pPr>
      <w:r>
        <w:rPr>
          <w:rFonts w:ascii="仿宋" w:hAnsi="仿宋" w:cs="仿宋"/>
          <w:b/>
          <w:bCs/>
        </w:rPr>
        <w:t>1</w:t>
      </w:r>
      <w:r>
        <w:rPr>
          <w:rFonts w:hint="eastAsia" w:ascii="仿宋" w:hAnsi="仿宋" w:cs="仿宋"/>
          <w:b/>
          <w:bCs/>
        </w:rPr>
        <w:t>、矿产资源勘查方向与布局</w:t>
      </w:r>
    </w:p>
    <w:p>
      <w:pPr>
        <w:ind w:firstLine="643"/>
        <w:rPr>
          <w:rFonts w:ascii="仿宋"/>
          <w:b/>
          <w:bCs/>
        </w:rPr>
      </w:pPr>
      <w:r>
        <w:rPr>
          <w:rFonts w:hint="eastAsia" w:ascii="仿宋" w:hAnsi="仿宋" w:cs="仿宋"/>
          <w:b/>
          <w:bCs/>
        </w:rPr>
        <w:t>（</w:t>
      </w:r>
      <w:r>
        <w:rPr>
          <w:rFonts w:ascii="仿宋" w:hAnsi="仿宋" w:cs="仿宋"/>
          <w:b/>
          <w:bCs/>
        </w:rPr>
        <w:t>1</w:t>
      </w:r>
      <w:r>
        <w:rPr>
          <w:rFonts w:hint="eastAsia" w:ascii="仿宋" w:hAnsi="仿宋" w:cs="仿宋"/>
          <w:b/>
          <w:bCs/>
        </w:rPr>
        <w:t>）禁止、限制和鼓励勘查的矿种</w:t>
      </w:r>
    </w:p>
    <w:p>
      <w:pPr>
        <w:spacing w:line="600" w:lineRule="exact"/>
        <w:ind w:firstLine="640"/>
        <w:rPr>
          <w:rFonts w:ascii="仿宋"/>
        </w:rPr>
      </w:pPr>
      <w:r>
        <w:rPr>
          <w:rFonts w:hint="eastAsia" w:ascii="仿宋" w:hAnsi="仿宋" w:cs="仿宋"/>
        </w:rPr>
        <w:t>根据河北省和承德市矿产资源总体规划确定的勘查方向，承德市鹰手营子矿区规划期间限制勘查矿种为水泥用灰岩，重点勘查矿种包括铜、铁等。上述勘查方向应在今后的探矿权设置及审批时严格执行。</w:t>
      </w:r>
    </w:p>
    <w:p>
      <w:pPr>
        <w:ind w:firstLine="643"/>
        <w:rPr>
          <w:rFonts w:ascii="仿宋"/>
          <w:b/>
          <w:bCs/>
        </w:rPr>
      </w:pPr>
      <w:r>
        <w:rPr>
          <w:rFonts w:hint="eastAsia" w:ascii="仿宋" w:hAnsi="仿宋" w:cs="仿宋"/>
          <w:b/>
          <w:bCs/>
        </w:rPr>
        <w:t>（</w:t>
      </w:r>
      <w:r>
        <w:rPr>
          <w:rFonts w:ascii="仿宋" w:hAnsi="仿宋" w:cs="仿宋"/>
          <w:b/>
          <w:bCs/>
        </w:rPr>
        <w:t>2</w:t>
      </w:r>
      <w:r>
        <w:rPr>
          <w:rFonts w:hint="eastAsia" w:ascii="仿宋" w:hAnsi="仿宋" w:cs="仿宋"/>
          <w:b/>
          <w:bCs/>
        </w:rPr>
        <w:t>）重要矿产资源勘查区域布局</w:t>
      </w:r>
    </w:p>
    <w:p>
      <w:pPr>
        <w:ind w:firstLine="640"/>
        <w:rPr>
          <w:rFonts w:ascii="仿宋"/>
        </w:rPr>
      </w:pPr>
      <w:r>
        <w:rPr>
          <w:rFonts w:hint="eastAsia" w:ascii="仿宋" w:hAnsi="仿宋" w:cs="仿宋"/>
        </w:rPr>
        <w:t>多金属矿：以热液型铜、钼矿为找矿方向。找矿范围包括：寿王坟</w:t>
      </w:r>
      <w:r>
        <w:rPr>
          <w:rFonts w:ascii="仿宋" w:hAnsi="仿宋" w:cs="仿宋"/>
        </w:rPr>
        <w:t>—</w:t>
      </w:r>
      <w:r>
        <w:rPr>
          <w:rFonts w:hint="eastAsia" w:ascii="仿宋" w:hAnsi="仿宋" w:cs="仿宋"/>
        </w:rPr>
        <w:t>蘑菇峪一带。预计新增资源储量</w:t>
      </w:r>
      <w:r>
        <w:rPr>
          <w:rFonts w:ascii="仿宋" w:hAnsi="仿宋" w:cs="仿宋"/>
        </w:rPr>
        <w:t>10</w:t>
      </w:r>
      <w:r>
        <w:rPr>
          <w:rFonts w:hint="eastAsia" w:ascii="仿宋" w:hAnsi="仿宋" w:cs="仿宋"/>
        </w:rPr>
        <w:t>万吨。</w:t>
      </w:r>
    </w:p>
    <w:p>
      <w:pPr>
        <w:ind w:firstLine="640"/>
        <w:rPr>
          <w:rFonts w:ascii="仿宋"/>
        </w:rPr>
      </w:pPr>
      <w:r>
        <w:rPr>
          <w:rFonts w:hint="eastAsia" w:ascii="仿宋" w:hAnsi="仿宋" w:cs="仿宋"/>
        </w:rPr>
        <w:t>建筑用石料：在鹰手营子矿区境内普查区开展勘查评价工作，预计新增建筑用石灰岩矿</w:t>
      </w:r>
      <w:r>
        <w:rPr>
          <w:rFonts w:ascii="仿宋" w:hAnsi="仿宋" w:cs="仿宋"/>
        </w:rPr>
        <w:t>300</w:t>
      </w:r>
      <w:r>
        <w:rPr>
          <w:rFonts w:hint="eastAsia" w:ascii="仿宋" w:hAnsi="仿宋" w:cs="仿宋"/>
        </w:rPr>
        <w:t>万吨。</w:t>
      </w:r>
    </w:p>
    <w:p>
      <w:pPr>
        <w:ind w:firstLine="640"/>
        <w:rPr>
          <w:rFonts w:ascii="仿宋"/>
        </w:rPr>
      </w:pPr>
      <w:r>
        <w:rPr>
          <w:rFonts w:hint="eastAsia" w:ascii="仿宋" w:hAnsi="仿宋" w:cs="仿宋"/>
        </w:rPr>
        <w:t>预计新增矿产地</w:t>
      </w:r>
      <w:r>
        <w:rPr>
          <w:rFonts w:ascii="仿宋" w:hAnsi="仿宋" w:cs="仿宋"/>
        </w:rPr>
        <w:t>1</w:t>
      </w:r>
      <w:r>
        <w:rPr>
          <w:rFonts w:hint="eastAsia" w:ascii="仿宋" w:hAnsi="仿宋" w:cs="仿宋"/>
        </w:rPr>
        <w:t>～</w:t>
      </w:r>
      <w:r>
        <w:rPr>
          <w:rFonts w:ascii="仿宋" w:hAnsi="仿宋" w:cs="仿宋"/>
        </w:rPr>
        <w:t>2</w:t>
      </w:r>
      <w:r>
        <w:rPr>
          <w:rFonts w:hint="eastAsia" w:ascii="仿宋" w:hAnsi="仿宋" w:cs="仿宋"/>
        </w:rPr>
        <w:t>处。</w:t>
      </w:r>
    </w:p>
    <w:p>
      <w:pPr>
        <w:ind w:firstLine="643"/>
        <w:rPr>
          <w:rFonts w:ascii="仿宋"/>
          <w:b/>
          <w:bCs/>
        </w:rPr>
      </w:pPr>
      <w:bookmarkStart w:id="33" w:name="_Toc312095563"/>
      <w:bookmarkStart w:id="34" w:name="_Toc311557283"/>
      <w:r>
        <w:rPr>
          <w:rFonts w:ascii="仿宋" w:hAnsi="仿宋" w:cs="仿宋"/>
          <w:b/>
          <w:bCs/>
        </w:rPr>
        <w:t>2</w:t>
      </w:r>
      <w:r>
        <w:rPr>
          <w:rFonts w:hint="eastAsia" w:ascii="仿宋" w:hAnsi="仿宋" w:cs="仿宋"/>
          <w:b/>
          <w:bCs/>
        </w:rPr>
        <w:t>、矿产资源勘查规划分区</w:t>
      </w:r>
      <w:bookmarkEnd w:id="33"/>
      <w:bookmarkEnd w:id="34"/>
    </w:p>
    <w:p>
      <w:pPr>
        <w:ind w:firstLine="640"/>
        <w:rPr>
          <w:rFonts w:ascii="仿宋"/>
        </w:rPr>
      </w:pPr>
      <w:r>
        <w:rPr>
          <w:rFonts w:hint="eastAsia" w:ascii="仿宋" w:hAnsi="仿宋" w:cs="仿宋"/>
        </w:rPr>
        <w:t>根据矿产资源供需形势和国家产业政策，结合矿产资源的保证程度、成矿地质条件及矿山地质环境承载能力等，划定限制勘查规划区，以指导探矿权的合理设置，有效促进矿产资源勘查布局的优化和调整。</w:t>
      </w:r>
    </w:p>
    <w:p>
      <w:pPr>
        <w:ind w:firstLine="643"/>
        <w:rPr>
          <w:rFonts w:ascii="仿宋"/>
          <w:b/>
          <w:bCs/>
        </w:rPr>
      </w:pPr>
      <w:r>
        <w:rPr>
          <w:rFonts w:hint="eastAsia" w:ascii="仿宋" w:hAnsi="仿宋" w:cs="仿宋"/>
          <w:b/>
          <w:bCs/>
        </w:rPr>
        <w:t>（</w:t>
      </w:r>
      <w:r>
        <w:rPr>
          <w:rFonts w:ascii="仿宋" w:hAnsi="仿宋" w:cs="仿宋"/>
          <w:b/>
          <w:bCs/>
        </w:rPr>
        <w:t>1</w:t>
      </w:r>
      <w:r>
        <w:rPr>
          <w:rFonts w:hint="eastAsia" w:ascii="仿宋" w:hAnsi="仿宋" w:cs="仿宋"/>
          <w:b/>
          <w:bCs/>
        </w:rPr>
        <w:t>）限制勘查区</w:t>
      </w:r>
    </w:p>
    <w:p>
      <w:pPr>
        <w:ind w:firstLine="640"/>
        <w:rPr>
          <w:rFonts w:ascii="仿宋"/>
        </w:rPr>
      </w:pPr>
      <w:r>
        <w:rPr>
          <w:rFonts w:hint="eastAsia" w:ascii="仿宋" w:hAnsi="仿宋" w:cs="仿宋"/>
        </w:rPr>
        <w:t>规划期内将资源环境承载能力较弱的国家级、省级自然保护区、风景名胜区、名胜古迹所在地、重要饮用水源保护区、环首都圈等环境敏感地带划定为限制勘查区，落实市级一个限制勘查区，即营子柳河湿地公园。</w:t>
      </w:r>
    </w:p>
    <w:p>
      <w:pPr>
        <w:pStyle w:val="4"/>
        <w:ind w:firstLine="643"/>
        <w:rPr>
          <w:rFonts w:ascii="仿宋"/>
        </w:rPr>
      </w:pPr>
      <w:bookmarkStart w:id="35" w:name="_Toc311557286"/>
      <w:bookmarkStart w:id="36" w:name="_Toc312095566"/>
      <w:bookmarkStart w:id="37" w:name="_Toc292614418"/>
      <w:bookmarkStart w:id="38" w:name="_Toc288121088"/>
      <w:r>
        <w:rPr>
          <w:rFonts w:hint="eastAsia" w:ascii="仿宋" w:hAnsi="仿宋" w:cs="仿宋"/>
        </w:rPr>
        <w:t>二、矿产资源开发利用与保护</w:t>
      </w:r>
      <w:bookmarkEnd w:id="35"/>
      <w:bookmarkEnd w:id="36"/>
      <w:bookmarkEnd w:id="37"/>
      <w:bookmarkEnd w:id="38"/>
    </w:p>
    <w:p>
      <w:pPr>
        <w:ind w:firstLine="640"/>
        <w:rPr>
          <w:rFonts w:ascii="仿宋"/>
        </w:rPr>
      </w:pPr>
      <w:r>
        <w:rPr>
          <w:rFonts w:hint="eastAsia" w:ascii="仿宋" w:hAnsi="仿宋" w:cs="仿宋"/>
        </w:rPr>
        <w:t>根据市场需求和经济社会发展需要，对重要矿产实行保护与限制性开采，控制矿产资源开采总量，提高矿产资源的可持续保障能力。优化矿产开发布局，调整矿产资源开发利用结构，提高矿产资源节约集约利用水平，推动矿业经济可持续发展。</w:t>
      </w:r>
    </w:p>
    <w:p>
      <w:pPr>
        <w:ind w:firstLine="643"/>
        <w:rPr>
          <w:rFonts w:ascii="仿宋"/>
          <w:b/>
          <w:bCs/>
        </w:rPr>
      </w:pPr>
      <w:bookmarkStart w:id="39" w:name="_Toc273428443"/>
      <w:bookmarkStart w:id="40" w:name="_Toc299629526"/>
      <w:r>
        <w:rPr>
          <w:rFonts w:ascii="仿宋" w:hAnsi="仿宋" w:cs="仿宋"/>
          <w:b/>
          <w:bCs/>
        </w:rPr>
        <w:t>1</w:t>
      </w:r>
      <w:r>
        <w:rPr>
          <w:rFonts w:hint="eastAsia" w:ascii="仿宋" w:hAnsi="仿宋" w:cs="仿宋"/>
          <w:b/>
          <w:bCs/>
        </w:rPr>
        <w:t>、主要矿种开发总量调控</w:t>
      </w:r>
      <w:bookmarkEnd w:id="39"/>
      <w:bookmarkEnd w:id="40"/>
    </w:p>
    <w:p>
      <w:pPr>
        <w:ind w:firstLine="643"/>
        <w:rPr>
          <w:rFonts w:ascii="仿宋"/>
          <w:b/>
          <w:bCs/>
        </w:rPr>
      </w:pPr>
      <w:r>
        <w:rPr>
          <w:rFonts w:hint="eastAsia" w:ascii="仿宋" w:hAnsi="仿宋" w:cs="仿宋"/>
          <w:b/>
          <w:bCs/>
        </w:rPr>
        <w:t>（</w:t>
      </w:r>
      <w:r>
        <w:rPr>
          <w:rFonts w:ascii="仿宋" w:hAnsi="仿宋" w:cs="仿宋"/>
          <w:b/>
          <w:bCs/>
        </w:rPr>
        <w:t>1</w:t>
      </w:r>
      <w:r>
        <w:rPr>
          <w:rFonts w:hint="eastAsia" w:ascii="仿宋" w:hAnsi="仿宋" w:cs="仿宋"/>
          <w:b/>
          <w:bCs/>
        </w:rPr>
        <w:t>）限制开采的矿种</w:t>
      </w:r>
    </w:p>
    <w:p>
      <w:pPr>
        <w:ind w:firstLine="640"/>
        <w:rPr>
          <w:rFonts w:ascii="仿宋"/>
        </w:rPr>
      </w:pPr>
      <w:r>
        <w:rPr>
          <w:rFonts w:hint="eastAsia" w:ascii="仿宋" w:hAnsi="仿宋" w:cs="仿宋"/>
        </w:rPr>
        <w:t>承德市鹰手营子矿区限制开采矿种为钼矿。</w:t>
      </w:r>
    </w:p>
    <w:p>
      <w:pPr>
        <w:ind w:firstLine="643"/>
        <w:rPr>
          <w:rFonts w:ascii="仿宋"/>
          <w:b/>
          <w:bCs/>
        </w:rPr>
      </w:pPr>
      <w:bookmarkStart w:id="41" w:name="_Toc272395568"/>
      <w:bookmarkStart w:id="42" w:name="_Toc276971845"/>
      <w:bookmarkStart w:id="43" w:name="_Toc270338457"/>
      <w:r>
        <w:rPr>
          <w:rFonts w:hint="eastAsia" w:ascii="仿宋" w:hAnsi="仿宋" w:cs="仿宋"/>
          <w:b/>
          <w:bCs/>
        </w:rPr>
        <w:t>（</w:t>
      </w:r>
      <w:r>
        <w:rPr>
          <w:rFonts w:ascii="仿宋" w:hAnsi="仿宋" w:cs="仿宋"/>
          <w:b/>
          <w:bCs/>
        </w:rPr>
        <w:t>2</w:t>
      </w:r>
      <w:r>
        <w:rPr>
          <w:rFonts w:hint="eastAsia" w:ascii="仿宋" w:hAnsi="仿宋" w:cs="仿宋"/>
          <w:b/>
          <w:bCs/>
        </w:rPr>
        <w:t>）主要矿产开发总量调控指标</w:t>
      </w:r>
    </w:p>
    <w:p>
      <w:pPr>
        <w:ind w:firstLine="640"/>
        <w:rPr>
          <w:rFonts w:ascii="仿宋"/>
        </w:rPr>
      </w:pPr>
      <w:r>
        <w:rPr>
          <w:rFonts w:hint="eastAsia" w:ascii="仿宋" w:hAnsi="仿宋" w:cs="仿宋"/>
        </w:rPr>
        <w:t>坚持矿产资源开采总量与经济社会发展相适应、与鹰手营子矿区资源条件相适应、与生态环境承载能力相适应的原则，拟定主要矿种开发总量的调控指标。实行矿产资源开采总量控制，保护与开发并重，强化资源价格调控能力，争取实现资源效益最大化。以现已查明的资源储量为基础，以预测远景资源为依托，综合考虑国家产业政策、矿产资源开发利用现状、矿山地质环境保护等因素，根据经济社会发展的需要，结合国内外矿产资源供需形势，拟定主要矿种开发总量的调控指标。</w:t>
      </w:r>
    </w:p>
    <w:p>
      <w:pPr>
        <w:ind w:firstLine="640"/>
        <w:rPr>
          <w:rFonts w:ascii="仿宋"/>
        </w:rPr>
      </w:pPr>
      <w:r>
        <w:rPr>
          <w:rFonts w:hint="eastAsia" w:ascii="仿宋" w:hAnsi="仿宋" w:cs="仿宋"/>
        </w:rPr>
        <w:t>铁矿：年生产量控制在</w:t>
      </w:r>
      <w:r>
        <w:rPr>
          <w:rFonts w:ascii="仿宋" w:hAnsi="仿宋" w:cs="仿宋"/>
        </w:rPr>
        <w:t>60</w:t>
      </w:r>
      <w:r>
        <w:rPr>
          <w:rFonts w:hint="eastAsia" w:ascii="仿宋" w:hAnsi="仿宋" w:cs="仿宋"/>
        </w:rPr>
        <w:t>万吨。</w:t>
      </w:r>
    </w:p>
    <w:p>
      <w:pPr>
        <w:ind w:firstLine="640"/>
        <w:rPr>
          <w:rFonts w:ascii="仿宋"/>
        </w:rPr>
      </w:pPr>
      <w:r>
        <w:rPr>
          <w:rFonts w:hint="eastAsia" w:ascii="仿宋" w:hAnsi="仿宋" w:cs="仿宋"/>
        </w:rPr>
        <w:t>铜钼矿：年生产量控制在</w:t>
      </w:r>
      <w:r>
        <w:rPr>
          <w:rFonts w:ascii="仿宋" w:hAnsi="仿宋" w:cs="仿宋"/>
        </w:rPr>
        <w:t>100</w:t>
      </w:r>
      <w:r>
        <w:rPr>
          <w:rFonts w:hint="eastAsia" w:ascii="仿宋" w:hAnsi="仿宋" w:cs="仿宋"/>
        </w:rPr>
        <w:t>吨（金属量）。</w:t>
      </w:r>
    </w:p>
    <w:p>
      <w:pPr>
        <w:ind w:firstLine="640"/>
        <w:rPr>
          <w:rFonts w:ascii="仿宋"/>
        </w:rPr>
      </w:pPr>
      <w:r>
        <w:rPr>
          <w:rFonts w:hint="eastAsia" w:ascii="仿宋" w:hAnsi="仿宋" w:cs="仿宋"/>
        </w:rPr>
        <w:t>石灰岩：年生产量控制在</w:t>
      </w:r>
      <w:r>
        <w:rPr>
          <w:rFonts w:ascii="仿宋" w:hAnsi="仿宋" w:cs="仿宋"/>
        </w:rPr>
        <w:t>2</w:t>
      </w:r>
      <w:r>
        <w:rPr>
          <w:rFonts w:ascii="仿宋" w:cs="仿宋"/>
        </w:rPr>
        <w:t>0</w:t>
      </w:r>
      <w:r>
        <w:rPr>
          <w:rFonts w:hint="eastAsia" w:ascii="仿宋" w:hAnsi="仿宋" w:cs="仿宋"/>
        </w:rPr>
        <w:t>万吨。</w:t>
      </w:r>
    </w:p>
    <w:p>
      <w:pPr>
        <w:ind w:firstLine="643"/>
        <w:rPr>
          <w:rFonts w:ascii="仿宋"/>
          <w:b/>
          <w:bCs/>
        </w:rPr>
      </w:pPr>
      <w:r>
        <w:rPr>
          <w:rFonts w:ascii="仿宋" w:hAnsi="仿宋" w:cs="仿宋"/>
          <w:b/>
          <w:bCs/>
        </w:rPr>
        <w:t>2</w:t>
      </w:r>
      <w:r>
        <w:rPr>
          <w:rFonts w:hint="eastAsia" w:ascii="仿宋" w:hAnsi="仿宋" w:cs="仿宋"/>
          <w:b/>
          <w:bCs/>
        </w:rPr>
        <w:t>、矿产资源开采规划分区</w:t>
      </w:r>
    </w:p>
    <w:p>
      <w:pPr>
        <w:ind w:firstLine="640"/>
        <w:rPr>
          <w:rFonts w:ascii="仿宋"/>
        </w:rPr>
      </w:pPr>
      <w:r>
        <w:rPr>
          <w:rFonts w:hint="eastAsia" w:ascii="仿宋" w:hAnsi="仿宋" w:cs="仿宋"/>
        </w:rPr>
        <w:t>根据矿产资源的供需形势和国家、省、市产业政策，结合矿产资源分布、主体功能区和生态红线，划定禁止开采区等规划管理功能分区，指导采矿权合理投放，促进矿产开发布局调整和优化。</w:t>
      </w:r>
    </w:p>
    <w:p>
      <w:pPr>
        <w:ind w:firstLine="643"/>
        <w:rPr>
          <w:rFonts w:ascii="仿宋"/>
          <w:b/>
          <w:bCs/>
        </w:rPr>
      </w:pPr>
      <w:r>
        <w:rPr>
          <w:rFonts w:hint="eastAsia" w:ascii="仿宋" w:hAnsi="仿宋" w:cs="仿宋"/>
          <w:b/>
          <w:bCs/>
        </w:rPr>
        <w:t>（</w:t>
      </w:r>
      <w:r>
        <w:rPr>
          <w:rFonts w:ascii="仿宋" w:hAnsi="仿宋" w:cs="仿宋"/>
          <w:b/>
          <w:bCs/>
        </w:rPr>
        <w:t>1</w:t>
      </w:r>
      <w:r>
        <w:rPr>
          <w:rFonts w:hint="eastAsia" w:ascii="仿宋" w:hAnsi="仿宋" w:cs="仿宋"/>
          <w:b/>
          <w:bCs/>
        </w:rPr>
        <w:t>）禁止开采区</w:t>
      </w:r>
    </w:p>
    <w:p>
      <w:pPr>
        <w:spacing w:after="120"/>
        <w:ind w:firstLine="540" w:firstLineChars="0"/>
        <w:rPr>
          <w:rFonts w:ascii="仿宋"/>
        </w:rPr>
      </w:pPr>
      <w:r>
        <w:rPr>
          <w:rFonts w:hint="eastAsia" w:ascii="仿宋" w:hAnsi="仿宋" w:cs="仿宋"/>
        </w:rPr>
        <w:t>省内国家级或省级自然保护区、风景名胜区、地质公园、地质遗迹保护区、重要饮用水水源保护区，国家重点保护的不能移动的历史文物和名胜古迹所在区等，以及国家和省规定的其它不得开采矿产资源的区域，划定为禁止开采区。全区共划定有空间坐标范围的禁止开采区</w:t>
      </w:r>
      <w:r>
        <w:rPr>
          <w:rFonts w:ascii="仿宋" w:hAnsi="仿宋" w:cs="仿宋"/>
        </w:rPr>
        <w:t>1</w:t>
      </w:r>
      <w:r>
        <w:rPr>
          <w:rFonts w:hint="eastAsia" w:ascii="仿宋" w:hAnsi="仿宋" w:cs="仿宋"/>
        </w:rPr>
        <w:t>个（即营子柳河湿地公园）。</w:t>
      </w:r>
    </w:p>
    <w:bookmarkEnd w:id="41"/>
    <w:bookmarkEnd w:id="42"/>
    <w:bookmarkEnd w:id="43"/>
    <w:p>
      <w:pPr>
        <w:pStyle w:val="3"/>
        <w:spacing w:before="156" w:after="156"/>
        <w:rPr>
          <w:rFonts w:ascii="仿宋" w:cs="Times New Roman"/>
        </w:rPr>
      </w:pPr>
      <w:bookmarkStart w:id="44" w:name="_Toc41758816"/>
      <w:r>
        <w:rPr>
          <w:rFonts w:hint="eastAsia" w:ascii="仿宋" w:hAnsi="仿宋" w:cs="仿宋"/>
        </w:rPr>
        <w:t>第二节</w:t>
      </w:r>
      <w:r>
        <w:rPr>
          <w:rFonts w:ascii="仿宋" w:hAnsi="仿宋" w:cs="仿宋"/>
        </w:rPr>
        <w:t xml:space="preserve"> </w:t>
      </w:r>
      <w:r>
        <w:rPr>
          <w:rFonts w:hint="eastAsia" w:ascii="仿宋" w:hAnsi="仿宋" w:cs="仿宋"/>
        </w:rPr>
        <w:t>矿业布局优化调整和转型升级</w:t>
      </w:r>
      <w:bookmarkEnd w:id="44"/>
    </w:p>
    <w:p>
      <w:pPr>
        <w:spacing w:after="120"/>
        <w:ind w:firstLine="640"/>
        <w:rPr>
          <w:rFonts w:ascii="仿宋"/>
        </w:rPr>
      </w:pPr>
      <w:r>
        <w:rPr>
          <w:rFonts w:hint="eastAsia" w:ascii="仿宋" w:hAnsi="仿宋" w:cs="仿宋"/>
        </w:rPr>
        <w:t>坚持绿色、生态、环保的发展理念，调整矿产资源开发利用结构，推动资源开发向高效、循环、绿色方向转变。推进矿产资源节约与综合利用，提高矿产资源产出率。落实绿色矿业发展要求，促进资源型城市转型与可持续发展。</w:t>
      </w:r>
    </w:p>
    <w:p>
      <w:pPr>
        <w:pStyle w:val="4"/>
        <w:ind w:firstLine="643"/>
        <w:rPr>
          <w:rFonts w:ascii="仿宋"/>
        </w:rPr>
      </w:pPr>
      <w:r>
        <w:rPr>
          <w:rFonts w:hint="eastAsia" w:ascii="仿宋" w:hAnsi="仿宋" w:cs="仿宋"/>
        </w:rPr>
        <w:t>一、严格落实矿山最低开采规模要求</w:t>
      </w:r>
    </w:p>
    <w:p>
      <w:pPr>
        <w:pStyle w:val="58"/>
        <w:spacing w:after="156"/>
        <w:ind w:firstLine="640"/>
        <w:rPr>
          <w:rFonts w:ascii="仿宋" w:hAnsi="仿宋" w:eastAsia="仿宋" w:cs="Times New Roman"/>
          <w:sz w:val="32"/>
          <w:szCs w:val="32"/>
        </w:rPr>
      </w:pPr>
      <w:r>
        <w:rPr>
          <w:rFonts w:hint="eastAsia" w:ascii="仿宋" w:hAnsi="仿宋" w:eastAsia="仿宋" w:cs="仿宋"/>
          <w:sz w:val="32"/>
          <w:szCs w:val="32"/>
        </w:rPr>
        <w:t>按照矿山开采规模与矿床储量规模相适应的原则，落实市规划主要矿种矿山最低开采规模标准，引导矿山企业规模化开采、集约化经营。新建矿山必须达到最低开采规模要求，已有矿山开采规模与其储量规模不适应的，通过技术改造、整合等方式，逐步达到规定标准。</w:t>
      </w:r>
    </w:p>
    <w:p>
      <w:pPr>
        <w:pStyle w:val="4"/>
        <w:ind w:firstLine="643"/>
        <w:rPr>
          <w:rFonts w:ascii="仿宋"/>
        </w:rPr>
      </w:pPr>
      <w:r>
        <w:rPr>
          <w:rFonts w:hint="eastAsia" w:ascii="仿宋" w:hAnsi="仿宋" w:cs="仿宋"/>
        </w:rPr>
        <w:t>二、调整矿山规模结构，压减矿山数量</w:t>
      </w:r>
    </w:p>
    <w:p>
      <w:pPr>
        <w:pStyle w:val="58"/>
        <w:spacing w:after="156"/>
        <w:ind w:firstLine="640"/>
        <w:rPr>
          <w:rFonts w:ascii="仿宋" w:hAnsi="仿宋" w:eastAsia="仿宋" w:cs="Times New Roman"/>
          <w:sz w:val="32"/>
          <w:szCs w:val="32"/>
        </w:rPr>
      </w:pPr>
      <w:r>
        <w:rPr>
          <w:rFonts w:hint="eastAsia" w:ascii="仿宋" w:hAnsi="仿宋" w:eastAsia="仿宋" w:cs="仿宋"/>
          <w:sz w:val="32"/>
          <w:szCs w:val="32"/>
        </w:rPr>
        <w:t>规划期内，矿山数量实行减量化调控，逐步实现矿山规模结构调整优化。继续推进资源整合，促进矿山合理布局和规模化生产，减少小规模矿山数量，提高矿业开发集中度和规模效益。到</w:t>
      </w:r>
      <w:r>
        <w:rPr>
          <w:rFonts w:ascii="仿宋" w:hAnsi="仿宋" w:eastAsia="仿宋" w:cs="仿宋"/>
          <w:sz w:val="32"/>
          <w:szCs w:val="32"/>
        </w:rPr>
        <w:t>2020</w:t>
      </w:r>
      <w:r>
        <w:rPr>
          <w:rFonts w:hint="eastAsia" w:ascii="仿宋" w:hAnsi="仿宋" w:eastAsia="仿宋" w:cs="仿宋"/>
          <w:sz w:val="32"/>
          <w:szCs w:val="32"/>
        </w:rPr>
        <w:t>年，全区固体矿产矿山数量在</w:t>
      </w:r>
      <w:r>
        <w:rPr>
          <w:rFonts w:ascii="仿宋" w:hAnsi="仿宋" w:eastAsia="仿宋" w:cs="仿宋"/>
          <w:sz w:val="32"/>
          <w:szCs w:val="32"/>
        </w:rPr>
        <w:t>2015</w:t>
      </w:r>
      <w:r>
        <w:rPr>
          <w:rFonts w:hint="eastAsia" w:ascii="仿宋" w:hAnsi="仿宋" w:eastAsia="仿宋" w:cs="仿宋"/>
          <w:sz w:val="32"/>
          <w:szCs w:val="32"/>
        </w:rPr>
        <w:t>年底基础上，总量控制在</w:t>
      </w:r>
      <w:r>
        <w:rPr>
          <w:rFonts w:ascii="仿宋" w:hAnsi="仿宋" w:eastAsia="仿宋" w:cs="仿宋"/>
          <w:sz w:val="32"/>
          <w:szCs w:val="32"/>
        </w:rPr>
        <w:t>10</w:t>
      </w:r>
      <w:r>
        <w:rPr>
          <w:rFonts w:hint="eastAsia" w:ascii="仿宋" w:hAnsi="仿宋" w:eastAsia="仿宋" w:cs="仿宋"/>
          <w:sz w:val="32"/>
          <w:szCs w:val="32"/>
        </w:rPr>
        <w:t>个以内，大中型固体矿山比例达到</w:t>
      </w:r>
      <w:r>
        <w:rPr>
          <w:rFonts w:ascii="仿宋" w:hAnsi="仿宋" w:eastAsia="仿宋" w:cs="仿宋"/>
          <w:sz w:val="32"/>
          <w:szCs w:val="32"/>
        </w:rPr>
        <w:t>10%</w:t>
      </w:r>
      <w:r>
        <w:rPr>
          <w:rFonts w:hint="eastAsia" w:ascii="仿宋" w:hAnsi="仿宋" w:eastAsia="仿宋" w:cs="仿宋"/>
          <w:sz w:val="32"/>
          <w:szCs w:val="32"/>
        </w:rPr>
        <w:t>以上。</w:t>
      </w:r>
    </w:p>
    <w:p>
      <w:pPr>
        <w:pStyle w:val="4"/>
        <w:ind w:firstLine="643"/>
        <w:rPr>
          <w:rFonts w:ascii="仿宋"/>
        </w:rPr>
      </w:pPr>
      <w:bookmarkStart w:id="45" w:name="_Toc469068150"/>
      <w:bookmarkStart w:id="46" w:name="_Toc469056971"/>
      <w:r>
        <w:rPr>
          <w:rFonts w:hint="eastAsia" w:ascii="仿宋" w:hAnsi="仿宋" w:cs="仿宋"/>
        </w:rPr>
        <w:t>三、矿产资源节约与综合利用</w:t>
      </w:r>
      <w:bookmarkEnd w:id="45"/>
      <w:bookmarkEnd w:id="46"/>
    </w:p>
    <w:p>
      <w:pPr>
        <w:spacing w:line="600" w:lineRule="exact"/>
        <w:ind w:firstLine="640"/>
        <w:rPr>
          <w:rFonts w:ascii="仿宋"/>
        </w:rPr>
      </w:pPr>
      <w:r>
        <w:rPr>
          <w:rFonts w:hint="eastAsia" w:ascii="仿宋" w:hAnsi="仿宋" w:cs="仿宋"/>
        </w:rPr>
        <w:t>重点在切实执行矿山企业“三率”考核指标、提高伴生矿产综合利用、尾矿和固体废弃物综合利用，加强对矿山企业综合利用水平的监督管理，提高全区矿产资源节约与综合利用的整体水平，使矿山“三率”水平达标率提高到</w:t>
      </w:r>
      <w:r>
        <w:rPr>
          <w:rFonts w:ascii="仿宋" w:hAnsi="仿宋" w:cs="仿宋"/>
        </w:rPr>
        <w:t>95%</w:t>
      </w:r>
      <w:r>
        <w:rPr>
          <w:rFonts w:hint="eastAsia" w:ascii="仿宋" w:hAnsi="仿宋" w:cs="仿宋"/>
        </w:rPr>
        <w:t>以上。</w:t>
      </w:r>
    </w:p>
    <w:p>
      <w:pPr>
        <w:pStyle w:val="2"/>
        <w:spacing w:before="156" w:after="156"/>
        <w:rPr>
          <w:rStyle w:val="29"/>
          <w:rFonts w:ascii="仿宋"/>
          <w:b/>
          <w:bCs/>
          <w:sz w:val="32"/>
          <w:szCs w:val="32"/>
        </w:rPr>
      </w:pPr>
      <w:r>
        <w:br w:type="page"/>
      </w:r>
      <w:bookmarkStart w:id="47" w:name="_Toc41758817"/>
      <w:bookmarkStart w:id="48" w:name="_Toc425790569"/>
      <w:bookmarkStart w:id="49" w:name="_Toc270338458"/>
      <w:bookmarkStart w:id="50" w:name="_Toc272395569"/>
      <w:bookmarkStart w:id="51" w:name="_Toc276971846"/>
      <w:r>
        <w:rPr>
          <w:rStyle w:val="29"/>
          <w:rFonts w:hint="eastAsia" w:ascii="仿宋" w:hAnsi="仿宋" w:cs="仿宋"/>
          <w:b/>
          <w:bCs/>
          <w:sz w:val="32"/>
          <w:szCs w:val="32"/>
        </w:rPr>
        <w:t>第四章</w:t>
      </w:r>
      <w:r>
        <w:rPr>
          <w:rStyle w:val="29"/>
          <w:rFonts w:ascii="仿宋" w:hAnsi="仿宋" w:cs="仿宋"/>
          <w:b/>
          <w:bCs/>
          <w:sz w:val="32"/>
          <w:szCs w:val="32"/>
        </w:rPr>
        <w:t xml:space="preserve"> </w:t>
      </w:r>
      <w:r>
        <w:rPr>
          <w:rStyle w:val="29"/>
          <w:rFonts w:hint="eastAsia" w:ascii="仿宋" w:hAnsi="仿宋" w:cs="仿宋"/>
          <w:b/>
          <w:bCs/>
          <w:sz w:val="32"/>
          <w:szCs w:val="32"/>
        </w:rPr>
        <w:t>严格规范砂石</w:t>
      </w:r>
      <w:r>
        <w:rPr>
          <w:rStyle w:val="29"/>
          <w:rFonts w:ascii="仿宋" w:hAnsi="仿宋" w:cs="仿宋"/>
          <w:b/>
          <w:bCs/>
          <w:sz w:val="32"/>
          <w:szCs w:val="32"/>
        </w:rPr>
        <w:t>/</w:t>
      </w:r>
      <w:r>
        <w:rPr>
          <w:rStyle w:val="29"/>
          <w:rFonts w:hint="eastAsia" w:ascii="仿宋" w:hAnsi="仿宋" w:cs="仿宋"/>
          <w:b/>
          <w:bCs/>
          <w:sz w:val="32"/>
          <w:szCs w:val="32"/>
        </w:rPr>
        <w:t>小型非金属矿产资源开发管理</w:t>
      </w:r>
      <w:bookmarkEnd w:id="47"/>
      <w:bookmarkEnd w:id="48"/>
    </w:p>
    <w:p>
      <w:pPr>
        <w:pStyle w:val="3"/>
        <w:spacing w:before="156" w:after="156"/>
        <w:rPr>
          <w:rFonts w:ascii="仿宋" w:cs="Times New Roman"/>
        </w:rPr>
      </w:pPr>
      <w:bookmarkStart w:id="52" w:name="_Toc425790570"/>
      <w:bookmarkStart w:id="53" w:name="_Toc41758818"/>
      <w:r>
        <w:rPr>
          <w:rFonts w:hint="eastAsia" w:ascii="仿宋" w:hAnsi="仿宋" w:cs="仿宋"/>
        </w:rPr>
        <w:t>第一节</w:t>
      </w:r>
      <w:r>
        <w:rPr>
          <w:rFonts w:ascii="仿宋" w:hAnsi="仿宋" w:cs="仿宋"/>
        </w:rPr>
        <w:t xml:space="preserve"> </w:t>
      </w:r>
      <w:r>
        <w:rPr>
          <w:rFonts w:hint="eastAsia" w:ascii="仿宋" w:hAnsi="仿宋" w:cs="仿宋"/>
        </w:rPr>
        <w:t>合理调控开采总量</w:t>
      </w:r>
      <w:bookmarkEnd w:id="52"/>
      <w:bookmarkEnd w:id="53"/>
    </w:p>
    <w:p>
      <w:pPr>
        <w:ind w:firstLine="640"/>
        <w:rPr>
          <w:rFonts w:ascii="仿宋"/>
        </w:rPr>
      </w:pPr>
      <w:r>
        <w:rPr>
          <w:rFonts w:hint="eastAsia" w:ascii="仿宋" w:hAnsi="仿宋" w:cs="仿宋"/>
        </w:rPr>
        <w:t>砂石粘土类矿产与地方经济发展、生态保护和民生改善密切相关，目前承德市鹰手营子矿区有萤石矿</w:t>
      </w:r>
      <w:r>
        <w:rPr>
          <w:rFonts w:ascii="仿宋" w:hAnsi="仿宋" w:cs="仿宋"/>
        </w:rPr>
        <w:t>1</w:t>
      </w:r>
      <w:r>
        <w:rPr>
          <w:rFonts w:hint="eastAsia" w:ascii="仿宋" w:hAnsi="仿宋" w:cs="仿宋"/>
        </w:rPr>
        <w:t>个（即承德市寿王坟镇火神庙北山萤石矿），产能较低，属小型非金属矿床，规划期内对全区砂石及小型非金属矿产资源开采总量和采矿权投放总量实行有效调控。</w:t>
      </w:r>
    </w:p>
    <w:p>
      <w:pPr>
        <w:ind w:firstLine="640"/>
        <w:rPr>
          <w:rFonts w:ascii="仿宋"/>
        </w:rPr>
      </w:pPr>
      <w:r>
        <w:rPr>
          <w:rFonts w:hint="eastAsia" w:ascii="仿宋" w:hAnsi="仿宋" w:cs="仿宋"/>
        </w:rPr>
        <w:t>结合承德市鹰手营子矿区工业化、城镇化进程需要和矿山产能情况，到</w:t>
      </w:r>
      <w:r>
        <w:rPr>
          <w:rFonts w:ascii="仿宋" w:hAnsi="仿宋" w:cs="仿宋"/>
        </w:rPr>
        <w:t>2020</w:t>
      </w:r>
      <w:r>
        <w:rPr>
          <w:rFonts w:hint="eastAsia" w:ascii="仿宋" w:hAnsi="仿宋" w:cs="仿宋"/>
        </w:rPr>
        <w:t>年砂石及小型非金属矿的年生产量控制在</w:t>
      </w:r>
      <w:r>
        <w:rPr>
          <w:rFonts w:ascii="仿宋" w:hAnsi="仿宋" w:cs="仿宋"/>
        </w:rPr>
        <w:t>20</w:t>
      </w:r>
      <w:r>
        <w:rPr>
          <w:rFonts w:hint="eastAsia" w:ascii="仿宋" w:hAnsi="仿宋" w:cs="仿宋"/>
        </w:rPr>
        <w:t>万吨。</w:t>
      </w:r>
    </w:p>
    <w:p>
      <w:pPr>
        <w:pStyle w:val="3"/>
        <w:spacing w:before="156" w:after="156"/>
        <w:rPr>
          <w:rFonts w:ascii="仿宋" w:cs="Times New Roman"/>
        </w:rPr>
      </w:pPr>
      <w:bookmarkStart w:id="54" w:name="_Toc425790571"/>
      <w:bookmarkStart w:id="55" w:name="_Toc41758819"/>
      <w:r>
        <w:rPr>
          <w:rFonts w:hint="eastAsia" w:ascii="仿宋" w:hAnsi="仿宋" w:cs="仿宋"/>
        </w:rPr>
        <w:t>第二节</w:t>
      </w:r>
      <w:r>
        <w:rPr>
          <w:rFonts w:ascii="仿宋" w:hAnsi="仿宋" w:cs="仿宋"/>
        </w:rPr>
        <w:t xml:space="preserve"> </w:t>
      </w:r>
      <w:r>
        <w:rPr>
          <w:rFonts w:hint="eastAsia" w:ascii="仿宋" w:hAnsi="仿宋" w:cs="仿宋"/>
        </w:rPr>
        <w:t>优化资源开采布局</w:t>
      </w:r>
      <w:bookmarkEnd w:id="54"/>
      <w:bookmarkEnd w:id="55"/>
    </w:p>
    <w:p>
      <w:pPr>
        <w:ind w:firstLine="640"/>
        <w:rPr>
          <w:rFonts w:ascii="仿宋"/>
        </w:rPr>
      </w:pPr>
      <w:r>
        <w:rPr>
          <w:rFonts w:hint="eastAsia" w:ascii="仿宋" w:hAnsi="仿宋" w:cs="仿宋"/>
        </w:rPr>
        <w:t>全面落实科学发展观，坚持</w:t>
      </w:r>
      <w:r>
        <w:rPr>
          <w:rFonts w:hint="eastAsia" w:ascii="仿宋" w:cs="仿宋"/>
        </w:rPr>
        <w:t>“</w:t>
      </w:r>
      <w:r>
        <w:rPr>
          <w:rFonts w:hint="eastAsia" w:ascii="仿宋" w:hAnsi="仿宋" w:cs="仿宋"/>
        </w:rPr>
        <w:t>保护资源，保障发展</w:t>
      </w:r>
      <w:r>
        <w:rPr>
          <w:rFonts w:hint="eastAsia" w:ascii="仿宋" w:cs="仿宋"/>
        </w:rPr>
        <w:t>”</w:t>
      </w:r>
      <w:r>
        <w:rPr>
          <w:rFonts w:hint="eastAsia" w:ascii="仿宋" w:hAnsi="仿宋" w:cs="仿宋"/>
        </w:rPr>
        <w:t>的方针，从经济社会发展需要和矿产资源特点出发，在保护和改善矿山地质环境的前提下，合理布局，规模开发，节约集约利用矿产资源，推进矿业经济结构调整，加快推动产业结构转型升级，促进矿业经济向资源效益、生态效益、社会效益并重型转变，矿业开发向规模化、集约化、集团化转变，同时划定集中开采区。</w:t>
      </w:r>
    </w:p>
    <w:p>
      <w:pPr>
        <w:ind w:firstLine="640"/>
        <w:rPr>
          <w:rFonts w:ascii="仿宋"/>
        </w:rPr>
      </w:pPr>
      <w:r>
        <w:rPr>
          <w:rFonts w:hint="eastAsia" w:ascii="仿宋" w:hAnsi="仿宋" w:cs="仿宋"/>
        </w:rPr>
        <w:t>本轮规划落实市规划划定了一个集中开采区，即兴隆</w:t>
      </w:r>
      <w:r>
        <w:rPr>
          <w:rFonts w:ascii="仿宋" w:cs="仿宋"/>
        </w:rPr>
        <w:t>-</w:t>
      </w:r>
      <w:r>
        <w:rPr>
          <w:rFonts w:hint="eastAsia" w:ascii="仿宋" w:hAnsi="仿宋" w:cs="仿宋"/>
        </w:rPr>
        <w:t>营子建筑用石料集中开采区。集中开采区内的矿山严格按照</w:t>
      </w:r>
      <w:r>
        <w:rPr>
          <w:rFonts w:hint="eastAsia" w:ascii="仿宋" w:hAnsi="仿宋" w:cs="仿宋"/>
          <w:kern w:val="0"/>
        </w:rPr>
        <w:t>非金属矿行业绿色矿山建设要求</w:t>
      </w:r>
      <w:r>
        <w:rPr>
          <w:rFonts w:hint="eastAsia" w:ascii="仿宋" w:hAnsi="仿宋" w:cs="仿宋"/>
        </w:rPr>
        <w:t>建设</w:t>
      </w:r>
      <w:r>
        <w:rPr>
          <w:rFonts w:hint="eastAsia" w:ascii="仿宋" w:hAnsi="仿宋" w:cs="仿宋"/>
          <w:kern w:val="0"/>
        </w:rPr>
        <w:t>，</w:t>
      </w:r>
      <w:r>
        <w:rPr>
          <w:rFonts w:hint="eastAsia" w:ascii="仿宋" w:hAnsi="仿宋" w:cs="仿宋"/>
        </w:rPr>
        <w:t>确保生态环境问题得到有效控制和治理。</w:t>
      </w:r>
    </w:p>
    <w:p>
      <w:pPr>
        <w:pStyle w:val="3"/>
        <w:spacing w:before="156" w:after="156"/>
        <w:rPr>
          <w:rFonts w:ascii="仿宋" w:cs="Times New Roman"/>
        </w:rPr>
      </w:pPr>
      <w:bookmarkStart w:id="56" w:name="_Toc41758820"/>
      <w:bookmarkStart w:id="57" w:name="_Toc425790572"/>
      <w:r>
        <w:rPr>
          <w:rFonts w:hint="eastAsia" w:ascii="仿宋" w:hAnsi="仿宋" w:cs="仿宋"/>
        </w:rPr>
        <w:t>第三节</w:t>
      </w:r>
      <w:r>
        <w:rPr>
          <w:rFonts w:ascii="仿宋" w:hAnsi="仿宋" w:cs="仿宋"/>
        </w:rPr>
        <w:t xml:space="preserve"> </w:t>
      </w:r>
      <w:r>
        <w:rPr>
          <w:rFonts w:hint="eastAsia" w:ascii="仿宋" w:hAnsi="仿宋" w:cs="仿宋"/>
        </w:rPr>
        <w:t>严格开采规划准入管理</w:t>
      </w:r>
      <w:bookmarkEnd w:id="56"/>
      <w:bookmarkEnd w:id="57"/>
    </w:p>
    <w:p>
      <w:pPr>
        <w:ind w:firstLine="640"/>
        <w:rPr>
          <w:rFonts w:ascii="仿宋"/>
        </w:rPr>
      </w:pPr>
      <w:r>
        <w:rPr>
          <w:rFonts w:hint="eastAsia" w:ascii="仿宋" w:hAnsi="仿宋" w:cs="仿宋"/>
        </w:rPr>
        <w:t>承德市鹰手营子矿区小型非金属矿资源丰富，分布区域广泛，开发利用水平不高等问题。分析小型非金属矿产资源开发利用状况，在调整资源开发结构、转变资源开发利用方式的同时，要从审批源头进行控制，严格开采准入门槛。</w:t>
      </w:r>
    </w:p>
    <w:p>
      <w:pPr>
        <w:pStyle w:val="4"/>
        <w:ind w:firstLine="643"/>
        <w:rPr>
          <w:rFonts w:ascii="仿宋"/>
        </w:rPr>
      </w:pPr>
      <w:r>
        <w:rPr>
          <w:rFonts w:hint="eastAsia" w:ascii="仿宋" w:hAnsi="仿宋" w:cs="仿宋"/>
        </w:rPr>
        <w:t>一、开采准入条件</w:t>
      </w:r>
    </w:p>
    <w:p>
      <w:pPr>
        <w:ind w:firstLine="640"/>
        <w:rPr>
          <w:rFonts w:ascii="仿宋"/>
        </w:rPr>
      </w:pPr>
      <w:r>
        <w:rPr>
          <w:rFonts w:hint="eastAsia" w:ascii="仿宋" w:hAnsi="仿宋" w:cs="仿宋"/>
        </w:rPr>
        <w:t>矿山生产建设必须具备法律、法规规定的与其从事矿业活动相适应的资金、技术、装备等资质条件；建设规模必须与占用的矿区资源储量规模相适应，严格执行矿山最低开采规模标准；矿山企业应采取科学的开采方式和选矿工艺，满足“三率”要求，减少尾矿、废石等固体废弃物的排放量。</w:t>
      </w:r>
    </w:p>
    <w:p>
      <w:pPr>
        <w:pStyle w:val="4"/>
        <w:ind w:firstLine="643"/>
        <w:rPr>
          <w:rFonts w:ascii="仿宋"/>
        </w:rPr>
      </w:pPr>
      <w:bookmarkStart w:id="58" w:name="_Toc425790573"/>
      <w:r>
        <w:rPr>
          <w:rFonts w:hint="eastAsia" w:ascii="仿宋" w:hAnsi="仿宋" w:cs="仿宋"/>
        </w:rPr>
        <w:t>二、环境保护准入条件</w:t>
      </w:r>
    </w:p>
    <w:p>
      <w:pPr>
        <w:ind w:firstLine="640"/>
        <w:rPr>
          <w:rFonts w:ascii="仿宋"/>
        </w:rPr>
      </w:pPr>
      <w:r>
        <w:rPr>
          <w:rFonts w:hint="eastAsia" w:ascii="仿宋" w:hAnsi="仿宋" w:cs="仿宋"/>
        </w:rPr>
        <w:t>具备经主管部门审批的环境影响评价报告、矿山地质环境保护与治理恢复、土地复垦方案等；环境保护设施必须与主体工程同时设计、同时施工、同时投产使用。对矿山活动造成的环境污染和破坏有能力进行治理和恢复；禁止新建对地质环境产生不可恢复破坏性影响的矿山。</w:t>
      </w:r>
    </w:p>
    <w:p>
      <w:pPr>
        <w:pStyle w:val="4"/>
        <w:ind w:firstLine="643"/>
        <w:rPr>
          <w:rFonts w:ascii="仿宋"/>
        </w:rPr>
      </w:pPr>
      <w:r>
        <w:rPr>
          <w:rFonts w:hint="eastAsia" w:ascii="仿宋" w:hAnsi="仿宋" w:cs="仿宋"/>
        </w:rPr>
        <w:t>三、安全生产准入条件</w:t>
      </w:r>
    </w:p>
    <w:p>
      <w:pPr>
        <w:ind w:firstLine="640"/>
        <w:rPr>
          <w:rFonts w:ascii="仿宋" w:hAnsi="仿宋" w:cs="仿宋"/>
        </w:rPr>
      </w:pPr>
      <w:r>
        <w:rPr>
          <w:rFonts w:hint="eastAsia" w:ascii="仿宋" w:hAnsi="仿宋" w:cs="仿宋"/>
        </w:rPr>
        <w:t>矿山开发利用必须具备安全生产许可证和保障安全生产的条件。安全生产设施必须与主体工程同时设计、同时施工、同时投产使用。建立生产安全事故报告制度，严格落实安全生产责任制和责任追究制。矿山企业必须建立安全教育和培训制度和具体的应急预案，开展隐患排查治理工作，保障安全生产。</w:t>
      </w:r>
    </w:p>
    <w:p>
      <w:pPr>
        <w:pStyle w:val="2"/>
        <w:spacing w:before="156" w:after="156"/>
      </w:pPr>
      <w:r>
        <w:rPr>
          <w:rFonts w:ascii="仿宋" w:hAnsi="仿宋" w:cs="仿宋"/>
        </w:rPr>
        <w:br w:type="page"/>
      </w:r>
      <w:bookmarkEnd w:id="58"/>
      <w:bookmarkStart w:id="59" w:name="_Toc517532845"/>
      <w:bookmarkStart w:id="60" w:name="_Toc41758821"/>
      <w:r>
        <w:t>第五章 积极发展绿色矿业</w:t>
      </w:r>
      <w:bookmarkEnd w:id="59"/>
      <w:bookmarkEnd w:id="60"/>
    </w:p>
    <w:p>
      <w:pPr>
        <w:pStyle w:val="3"/>
        <w:spacing w:before="156" w:after="156"/>
      </w:pPr>
      <w:bookmarkStart w:id="61" w:name="_Toc496201058"/>
      <w:bookmarkStart w:id="62" w:name="_Toc41758822"/>
      <w:bookmarkStart w:id="63" w:name="_Toc517532846"/>
      <w:r>
        <w:rPr>
          <w:rFonts w:hint="eastAsia"/>
        </w:rPr>
        <w:t>第一节 加快推进绿色矿山建设</w:t>
      </w:r>
      <w:bookmarkEnd w:id="61"/>
      <w:bookmarkEnd w:id="62"/>
      <w:bookmarkEnd w:id="63"/>
    </w:p>
    <w:p>
      <w:pPr>
        <w:ind w:firstLine="640"/>
      </w:pPr>
      <w:r>
        <w:rPr>
          <w:rFonts w:hint="eastAsia"/>
        </w:rPr>
        <w:t>按照绿色矿山建设标准，以实现矿产资源利用集约化、开发方式科学化、生产工艺环保化、企业管理规范化、矿山环境生态化、矿地关系和谐化为总体目标，构建资源、环境和社会效益相协调的绿色矿山发展模式。</w:t>
      </w:r>
    </w:p>
    <w:p>
      <w:pPr>
        <w:pStyle w:val="4"/>
        <w:ind w:firstLine="643"/>
      </w:pPr>
      <w:r>
        <w:t>一、建设目标</w:t>
      </w:r>
    </w:p>
    <w:p>
      <w:pPr>
        <w:ind w:firstLine="640"/>
      </w:pPr>
      <w:r>
        <w:rPr>
          <w:rFonts w:hint="eastAsia"/>
        </w:rPr>
        <w:t>全力推进绿色矿山建设，实现矿业经济、环境、社会协调发展。到</w:t>
      </w:r>
      <w:r>
        <w:t>2020</w:t>
      </w:r>
      <w:r>
        <w:rPr>
          <w:rFonts w:hint="eastAsia"/>
        </w:rPr>
        <w:t>年，大中型矿山全部达到绿色矿山建设标准，小型矿山企业按照绿色矿山建设要求规范管理，对新建矿山要按照绿色矿山标准要求进行规划、设计建设和运营管理。资源集约节约利用水平显著提高，矿山环境得到有效保护，矿区土地复垦水平全面提升，矿山企业与地方和谐发展。</w:t>
      </w:r>
    </w:p>
    <w:p>
      <w:pPr>
        <w:pStyle w:val="4"/>
        <w:ind w:firstLine="643"/>
      </w:pPr>
      <w:r>
        <w:t>二、总体布局</w:t>
      </w:r>
    </w:p>
    <w:p>
      <w:pPr>
        <w:spacing w:line="560" w:lineRule="exact"/>
        <w:ind w:firstLine="640"/>
        <w:rPr>
          <w:rFonts w:ascii="仿宋" w:hAnsi="仿宋"/>
        </w:rPr>
      </w:pPr>
      <w:r>
        <w:rPr>
          <w:rFonts w:ascii="仿宋" w:hAnsi="仿宋"/>
        </w:rPr>
        <w:t>按照绿色矿山的标准条件，以资源利用、保护环境与社区和谐作为绿色矿山建设的工作核心，以依法办矿和安全生产作为绿色矿山建设的前提条件，以企业文化和规范管理作为绿色矿山建设的重要手段，以科技创新、节能减排和土地复垦等作为绿色矿山建设的保障措施，全面推进绿色矿山建设的各项工作</w:t>
      </w:r>
      <w:r>
        <w:rPr>
          <w:rFonts w:hint="eastAsia" w:ascii="仿宋" w:hAnsi="仿宋"/>
        </w:rPr>
        <w:t>。</w:t>
      </w:r>
    </w:p>
    <w:p>
      <w:pPr>
        <w:pStyle w:val="4"/>
        <w:ind w:firstLine="643"/>
      </w:pPr>
      <w:r>
        <w:t>三、主要任务</w:t>
      </w:r>
    </w:p>
    <w:p>
      <w:pPr>
        <w:ind w:firstLine="640"/>
        <w:rPr>
          <w:rFonts w:ascii="仿宋" w:hAnsi="仿宋"/>
        </w:rPr>
      </w:pPr>
      <w:r>
        <w:rPr>
          <w:rFonts w:hint="eastAsia" w:ascii="仿宋" w:hAnsi="仿宋"/>
        </w:rPr>
        <w:t>1、</w:t>
      </w:r>
      <w:r>
        <w:rPr>
          <w:rFonts w:ascii="仿宋" w:hAnsi="仿宋"/>
        </w:rPr>
        <w:t>强化国土资源管理部门对发展绿色矿业建设绿色矿山工作的鼓励、倡导和引导作用。要始终坚持矿山企业在建设绿色矿山的整个过程中的主体地位和作用，强化责任和义务，保证建设发展目标的顺利实现。</w:t>
      </w:r>
    </w:p>
    <w:p>
      <w:pPr>
        <w:ind w:firstLine="640"/>
        <w:rPr>
          <w:rFonts w:ascii="仿宋" w:hAnsi="仿宋"/>
        </w:rPr>
      </w:pPr>
      <w:r>
        <w:rPr>
          <w:rFonts w:hint="eastAsia" w:ascii="仿宋" w:hAnsi="仿宋"/>
        </w:rPr>
        <w:t>2、</w:t>
      </w:r>
      <w:r>
        <w:rPr>
          <w:rFonts w:ascii="仿宋" w:hAnsi="仿宋"/>
        </w:rPr>
        <w:t>发展绿色矿业、建设绿色矿山，关键在于充分调动矿山企业的积极性。要建立绿色矿山的激励机制和约束机制，加大向绿色矿山企业政策倾斜和支持力度，鼓励和支持矿山企业开展做好资源合理利用、环境保护等相关工作,不断提高发展水平。</w:t>
      </w:r>
    </w:p>
    <w:p>
      <w:pPr>
        <w:pStyle w:val="4"/>
        <w:ind w:firstLine="643"/>
      </w:pPr>
      <w:r>
        <w:rPr>
          <w:rFonts w:hint="eastAsia"/>
        </w:rPr>
        <w:t>四、管理措施</w:t>
      </w:r>
    </w:p>
    <w:p>
      <w:pPr>
        <w:ind w:firstLine="640"/>
      </w:pPr>
      <w:r>
        <w:t>加大工作推进力度，不断完善绿色矿山创建的指标体系。矿山企业作为绿色矿山建设主体，要认真履行社会责任，按照绿色矿山建设的基本条件和循环经济的发展模式，不断加强规范管理，切实履行社会责任，加大投入，改进生产工艺，优化产业布局，加强环境保护，促进资源开发，环境保护与矿区和谐的协调发展。</w:t>
      </w:r>
    </w:p>
    <w:p>
      <w:pPr>
        <w:ind w:firstLine="640"/>
      </w:pPr>
      <w:r>
        <w:t>要严格坚持绿色矿山创建标准，规范工作程序，加强监督检查，确保创建质量。对不符合绿色矿山创建要求的企业一经查实责令其进行整改。</w:t>
      </w:r>
    </w:p>
    <w:p>
      <w:pPr>
        <w:pStyle w:val="2"/>
        <w:spacing w:before="156" w:after="156"/>
        <w:rPr>
          <w:rStyle w:val="29"/>
          <w:b/>
          <w:bCs/>
          <w:sz w:val="32"/>
          <w:szCs w:val="32"/>
        </w:rPr>
      </w:pPr>
      <w:r>
        <w:br w:type="page"/>
      </w:r>
      <w:bookmarkEnd w:id="49"/>
      <w:bookmarkEnd w:id="50"/>
      <w:bookmarkEnd w:id="51"/>
      <w:bookmarkStart w:id="64" w:name="_Toc292614422"/>
      <w:bookmarkStart w:id="65" w:name="_Toc312095572"/>
      <w:bookmarkStart w:id="66" w:name="_Toc288121093"/>
      <w:bookmarkStart w:id="67" w:name="_Toc41758823"/>
      <w:bookmarkStart w:id="68" w:name="_Toc311557292"/>
      <w:r>
        <w:rPr>
          <w:rStyle w:val="29"/>
          <w:rFonts w:hint="eastAsia"/>
          <w:b/>
          <w:bCs/>
          <w:sz w:val="32"/>
          <w:szCs w:val="32"/>
        </w:rPr>
        <w:t>第六章</w:t>
      </w:r>
      <w:r>
        <w:rPr>
          <w:rStyle w:val="29"/>
          <w:b/>
          <w:bCs/>
          <w:sz w:val="32"/>
          <w:szCs w:val="32"/>
        </w:rPr>
        <w:t xml:space="preserve"> </w:t>
      </w:r>
      <w:r>
        <w:rPr>
          <w:rStyle w:val="29"/>
          <w:rFonts w:hint="eastAsia"/>
          <w:b/>
          <w:bCs/>
          <w:sz w:val="32"/>
          <w:szCs w:val="32"/>
        </w:rPr>
        <w:t>矿山地质环境保护与治理恢复</w:t>
      </w:r>
      <w:bookmarkEnd w:id="64"/>
      <w:bookmarkEnd w:id="65"/>
      <w:bookmarkEnd w:id="66"/>
      <w:bookmarkEnd w:id="67"/>
      <w:bookmarkEnd w:id="68"/>
    </w:p>
    <w:p>
      <w:pPr>
        <w:spacing w:line="600" w:lineRule="exact"/>
        <w:ind w:firstLine="640"/>
        <w:rPr>
          <w:rFonts w:ascii="仿宋"/>
        </w:rPr>
      </w:pPr>
      <w:r>
        <w:rPr>
          <w:rFonts w:hint="eastAsia" w:ascii="仿宋" w:hAnsi="仿宋" w:cs="仿宋"/>
        </w:rPr>
        <w:t>认真贯彻落实河北省和承德市总体规划关于矿山地质环境保护和综合治理的具体要求，大力推进矿山地质环境保护与综合治理工程和矿区土地复垦工程，强化矿山地质环境保护治理恢复，促进矿产资源开发与生态环境保护相协调。使重点矿区的地质环境有明显改善，矿山地质灾害和环境污染防治取得明显效果，为可持续发展提供矿山地质环境保证。</w:t>
      </w:r>
    </w:p>
    <w:p>
      <w:pPr>
        <w:pStyle w:val="3"/>
        <w:spacing w:before="156" w:after="156"/>
        <w:rPr>
          <w:rFonts w:ascii="仿宋" w:cs="Times New Roman"/>
        </w:rPr>
      </w:pPr>
      <w:bookmarkStart w:id="69" w:name="_Toc41758824"/>
      <w:bookmarkStart w:id="70" w:name="_Toc425790575"/>
      <w:r>
        <w:rPr>
          <w:rFonts w:hint="eastAsia" w:ascii="仿宋" w:hAnsi="仿宋" w:cs="仿宋"/>
        </w:rPr>
        <w:t>第一节</w:t>
      </w:r>
      <w:r>
        <w:rPr>
          <w:rFonts w:ascii="仿宋" w:hAnsi="仿宋" w:cs="仿宋"/>
        </w:rPr>
        <w:t xml:space="preserve"> </w:t>
      </w:r>
      <w:r>
        <w:rPr>
          <w:rFonts w:hint="eastAsia" w:ascii="仿宋" w:hAnsi="仿宋" w:cs="仿宋"/>
        </w:rPr>
        <w:t>矿山地质环境保护与治理恢复任务</w:t>
      </w:r>
      <w:bookmarkEnd w:id="69"/>
    </w:p>
    <w:p>
      <w:pPr>
        <w:spacing w:line="600" w:lineRule="exact"/>
        <w:ind w:firstLine="640"/>
        <w:rPr>
          <w:rFonts w:ascii="仿宋"/>
        </w:rPr>
      </w:pPr>
      <w:r>
        <w:rPr>
          <w:rFonts w:hint="eastAsia" w:ascii="仿宋" w:hAnsi="仿宋" w:cs="仿宋"/>
        </w:rPr>
        <w:t>在对矿山地质环境全面调查的基础上，建立和完善矿山地质环境保护与综合治理责任机制。坚持开发与保护并重，预防为主、防治结合，谁开发谁保护、谁破坏谁治理、谁投资谁受益的原则。开采矿产资源造成矿山地质环境破坏的，由采矿权人负责治理恢复。</w:t>
      </w:r>
    </w:p>
    <w:p>
      <w:pPr>
        <w:spacing w:line="600" w:lineRule="exact"/>
        <w:ind w:firstLine="640"/>
        <w:rPr>
          <w:rFonts w:ascii="仿宋"/>
        </w:rPr>
      </w:pPr>
      <w:r>
        <w:rPr>
          <w:rFonts w:hint="eastAsia" w:ascii="仿宋" w:hAnsi="仿宋" w:cs="仿宋"/>
        </w:rPr>
        <w:t>加强对矿山地质环境保护的监督管理，把矿山地质环境的防治工作，作为矿山企业年度检查的重要内容之一。加强对有色金属矿山的管理，对尾矿排放、矿山地质环境治理恢复实行严格的监督管理。加强矿区地质灾害监测与防治，露天采矿区要跟踪监测边坡稳定性，严防滑坡和崩塌，确保人员财产安全，地下采区要防治地面塌陷。</w:t>
      </w:r>
    </w:p>
    <w:bookmarkEnd w:id="70"/>
    <w:p>
      <w:pPr>
        <w:pStyle w:val="3"/>
        <w:spacing w:before="156" w:after="156"/>
        <w:rPr>
          <w:rFonts w:ascii="仿宋" w:cs="Times New Roman"/>
        </w:rPr>
      </w:pPr>
      <w:bookmarkStart w:id="71" w:name="_Toc299629535"/>
      <w:bookmarkStart w:id="72" w:name="_Toc273428452"/>
      <w:bookmarkStart w:id="73" w:name="_Toc41758825"/>
      <w:r>
        <w:rPr>
          <w:rFonts w:hint="eastAsia" w:ascii="仿宋" w:hAnsi="仿宋" w:cs="仿宋"/>
        </w:rPr>
        <w:t>第二节</w:t>
      </w:r>
      <w:r>
        <w:rPr>
          <w:rFonts w:ascii="仿宋" w:hAnsi="仿宋" w:cs="仿宋"/>
        </w:rPr>
        <w:t xml:space="preserve"> </w:t>
      </w:r>
      <w:r>
        <w:rPr>
          <w:rFonts w:hint="eastAsia" w:ascii="仿宋" w:hAnsi="仿宋" w:cs="仿宋"/>
        </w:rPr>
        <w:t>矿山地质环境保护与综合治理</w:t>
      </w:r>
      <w:bookmarkEnd w:id="71"/>
      <w:bookmarkEnd w:id="72"/>
      <w:r>
        <w:rPr>
          <w:rFonts w:hint="eastAsia" w:ascii="仿宋" w:hAnsi="仿宋" w:cs="仿宋"/>
        </w:rPr>
        <w:t>分区</w:t>
      </w:r>
      <w:bookmarkEnd w:id="73"/>
    </w:p>
    <w:p>
      <w:pPr>
        <w:ind w:firstLine="640"/>
        <w:rPr>
          <w:rFonts w:ascii="仿宋"/>
        </w:rPr>
      </w:pPr>
      <w:r>
        <w:rPr>
          <w:rFonts w:ascii="仿宋" w:hAnsi="仿宋" w:cs="仿宋"/>
        </w:rPr>
        <w:t>1</w:t>
      </w:r>
      <w:r>
        <w:rPr>
          <w:rFonts w:hint="eastAsia" w:ascii="仿宋" w:hAnsi="仿宋" w:cs="仿宋"/>
        </w:rPr>
        <w:t>、矿山地质环境重点保护区：本规划把已设置的国家或省级自然保护区、地质公园、风景名胜区、水源地保护区、国家级和省级主干铁路、高速公路等列为矿山地质环境重点保护区。</w:t>
      </w:r>
    </w:p>
    <w:p>
      <w:pPr>
        <w:ind w:firstLine="640"/>
        <w:rPr>
          <w:rFonts w:ascii="仿宋"/>
        </w:rPr>
      </w:pPr>
      <w:r>
        <w:rPr>
          <w:rFonts w:hint="eastAsia" w:ascii="仿宋" w:hAnsi="仿宋" w:cs="仿宋"/>
        </w:rPr>
        <w:t>重点保护区禁止一切矿产资源勘查、开采活动。具体保护范围以主管部门批准备案为准。</w:t>
      </w:r>
    </w:p>
    <w:p>
      <w:pPr>
        <w:ind w:firstLine="640"/>
        <w:rPr>
          <w:rFonts w:ascii="仿宋"/>
        </w:rPr>
      </w:pPr>
      <w:r>
        <w:rPr>
          <w:rFonts w:ascii="仿宋" w:hAnsi="仿宋" w:cs="仿宋"/>
        </w:rPr>
        <w:t>2</w:t>
      </w:r>
      <w:r>
        <w:rPr>
          <w:rFonts w:hint="eastAsia" w:ascii="仿宋" w:hAnsi="仿宋" w:cs="仿宋"/>
        </w:rPr>
        <w:t>、矿山地质环境重点预防区：主要指矿产资源开发易引发地质灾害、水土资源破坏与环境污染，造成较大生态破坏，严重威胁或危害人居环境、生态系统、国土开发和经济发展的区域。重点预防区包括煤矿、铁矿、多金属矿及非金属矿等矿山地质环境重点预防区。对上述区域矿山地质环境实施动态监测，坚持预防为主、保护优先的方针，重点预防矿区内地质灾害、水土流失与环境污染。</w:t>
      </w:r>
    </w:p>
    <w:p>
      <w:pPr>
        <w:ind w:firstLine="640"/>
        <w:rPr>
          <w:rFonts w:ascii="仿宋"/>
        </w:rPr>
      </w:pPr>
      <w:r>
        <w:rPr>
          <w:rFonts w:ascii="仿宋" w:hAnsi="仿宋" w:cs="仿宋"/>
        </w:rPr>
        <w:t>3</w:t>
      </w:r>
      <w:r>
        <w:rPr>
          <w:rFonts w:hint="eastAsia" w:ascii="仿宋" w:hAnsi="仿宋" w:cs="仿宋"/>
        </w:rPr>
        <w:t>、矿山地质环境重点治理区：全区共划分</w:t>
      </w:r>
      <w:r>
        <w:rPr>
          <w:rFonts w:ascii="仿宋" w:hAnsi="仿宋" w:cs="仿宋"/>
        </w:rPr>
        <w:t>3</w:t>
      </w:r>
      <w:r>
        <w:rPr>
          <w:rFonts w:hint="eastAsia" w:ascii="仿宋" w:hAnsi="仿宋" w:cs="仿宋"/>
        </w:rPr>
        <w:t>个重点治理区，分别为汪家庄镇姚庄南山、鹰手营子镇老厂子村、跳沟村周边石灰石矿。主要针对矿产资源开发历史较长对环境造成严重破坏，矿山地质环境问题对生态环境、工农业生产和人民群众生活造成较大影响的区域。</w:t>
      </w:r>
    </w:p>
    <w:p>
      <w:pPr>
        <w:ind w:firstLine="640"/>
        <w:rPr>
          <w:rFonts w:ascii="仿宋"/>
        </w:rPr>
      </w:pPr>
      <w:r>
        <w:rPr>
          <w:rFonts w:ascii="仿宋" w:hAnsi="仿宋" w:cs="仿宋"/>
        </w:rPr>
        <w:t>4</w:t>
      </w:r>
      <w:r>
        <w:rPr>
          <w:rFonts w:hint="eastAsia" w:ascii="仿宋" w:hAnsi="仿宋" w:cs="仿宋"/>
        </w:rPr>
        <w:t>、矿山地质环境一般治理区：除重点预防区和重点治理区以外的其它区域。包括分布零散的小矿山。一般治理区开采矿产资源必须制定矿山地质环境保护与恢复治理方案，并对可能诱发的矿山地质环境问题提出科学合理的预防、处置方案。采矿权人要严格执行矿山地质环境保护与恢复治理方案，减少矿山地质环境的负面影响。</w:t>
      </w:r>
    </w:p>
    <w:p>
      <w:pPr>
        <w:pStyle w:val="3"/>
        <w:spacing w:before="156" w:after="156"/>
        <w:rPr>
          <w:rFonts w:ascii="仿宋" w:cs="Times New Roman"/>
        </w:rPr>
      </w:pPr>
      <w:bookmarkStart w:id="74" w:name="_Toc41758826"/>
      <w:r>
        <w:rPr>
          <w:rFonts w:hint="eastAsia" w:ascii="仿宋" w:hAnsi="仿宋" w:cs="仿宋"/>
        </w:rPr>
        <w:t>第三节</w:t>
      </w:r>
      <w:r>
        <w:rPr>
          <w:rFonts w:ascii="仿宋" w:hAnsi="仿宋" w:cs="仿宋"/>
        </w:rPr>
        <w:t xml:space="preserve"> </w:t>
      </w:r>
      <w:r>
        <w:rPr>
          <w:rFonts w:hint="eastAsia" w:ascii="仿宋" w:hAnsi="仿宋" w:cs="仿宋"/>
        </w:rPr>
        <w:t>矿山地质环境保护与综合治理</w:t>
      </w:r>
      <w:bookmarkEnd w:id="74"/>
    </w:p>
    <w:p>
      <w:pPr>
        <w:ind w:firstLine="643"/>
        <w:rPr>
          <w:rFonts w:ascii="仿宋"/>
          <w:b/>
          <w:bCs/>
        </w:rPr>
      </w:pPr>
      <w:r>
        <w:rPr>
          <w:rFonts w:ascii="仿宋" w:hAnsi="仿宋" w:cs="仿宋"/>
          <w:b/>
          <w:bCs/>
        </w:rPr>
        <w:t>1</w:t>
      </w:r>
      <w:r>
        <w:rPr>
          <w:rFonts w:hint="eastAsia" w:ascii="仿宋" w:hAnsi="仿宋" w:cs="仿宋"/>
          <w:b/>
          <w:bCs/>
        </w:rPr>
        <w:t>、新建（含改、扩建）矿山地质环境保护</w:t>
      </w:r>
    </w:p>
    <w:p>
      <w:pPr>
        <w:ind w:firstLine="640"/>
        <w:rPr>
          <w:rFonts w:ascii="仿宋"/>
        </w:rPr>
      </w:pPr>
      <w:r>
        <w:rPr>
          <w:rFonts w:hint="eastAsia" w:ascii="仿宋" w:hAnsi="仿宋" w:cs="仿宋"/>
        </w:rPr>
        <w:t>新建矿山必须符合矿山地质环境保护准入条件，依法执行环境影响评价制度。严把矿山选址审批关，不批准在禁采区内新建矿山项目。按照</w:t>
      </w:r>
      <w:r>
        <w:rPr>
          <w:rFonts w:hint="eastAsia" w:ascii="仿宋" w:cs="仿宋"/>
        </w:rPr>
        <w:t>“</w:t>
      </w:r>
      <w:r>
        <w:rPr>
          <w:rFonts w:hint="eastAsia" w:ascii="仿宋" w:hAnsi="仿宋" w:cs="仿宋"/>
        </w:rPr>
        <w:t>谁开发、谁保护，谁污染、谁治理，谁破坏、谁恢复，谁投资、谁受益</w:t>
      </w:r>
      <w:r>
        <w:rPr>
          <w:rFonts w:hint="eastAsia" w:ascii="仿宋" w:cs="仿宋"/>
        </w:rPr>
        <w:t>”</w:t>
      </w:r>
      <w:r>
        <w:rPr>
          <w:rFonts w:hint="eastAsia" w:ascii="仿宋" w:hAnsi="仿宋" w:cs="仿宋"/>
        </w:rPr>
        <w:t>原则，规定采矿权人的环境保护义务，加大对矿山企业的监管力度。至</w:t>
      </w:r>
      <w:r>
        <w:rPr>
          <w:rFonts w:ascii="仿宋" w:hAnsi="仿宋" w:cs="仿宋"/>
        </w:rPr>
        <w:t>2020</w:t>
      </w:r>
      <w:r>
        <w:rPr>
          <w:rFonts w:hint="eastAsia" w:ascii="仿宋" w:hAnsi="仿宋" w:cs="仿宋"/>
        </w:rPr>
        <w:t>年，新建矿山造成新的矿山地质环境问题和破坏的土地，实现全面治理。</w:t>
      </w:r>
    </w:p>
    <w:p>
      <w:pPr>
        <w:ind w:firstLine="643"/>
        <w:rPr>
          <w:rFonts w:ascii="仿宋"/>
          <w:b/>
          <w:bCs/>
        </w:rPr>
      </w:pPr>
      <w:r>
        <w:rPr>
          <w:rFonts w:ascii="仿宋" w:hAnsi="仿宋" w:cs="仿宋"/>
          <w:b/>
          <w:bCs/>
        </w:rPr>
        <w:t>2</w:t>
      </w:r>
      <w:r>
        <w:rPr>
          <w:rFonts w:hint="eastAsia" w:ascii="仿宋" w:hAnsi="仿宋" w:cs="仿宋"/>
          <w:b/>
          <w:bCs/>
        </w:rPr>
        <w:t>、现有生产</w:t>
      </w:r>
      <w:bookmarkStart w:id="105" w:name="_GoBack"/>
      <w:bookmarkEnd w:id="105"/>
      <w:r>
        <w:rPr>
          <w:rFonts w:hint="eastAsia" w:ascii="仿宋" w:hAnsi="仿宋" w:cs="仿宋"/>
          <w:b/>
          <w:bCs/>
        </w:rPr>
        <w:t>矿山地质环境保护</w:t>
      </w:r>
    </w:p>
    <w:p>
      <w:pPr>
        <w:ind w:firstLine="640"/>
        <w:rPr>
          <w:rFonts w:ascii="仿宋"/>
        </w:rPr>
      </w:pPr>
      <w:r>
        <w:rPr>
          <w:rFonts w:hint="eastAsia" w:ascii="仿宋" w:hAnsi="仿宋" w:cs="仿宋"/>
        </w:rPr>
        <w:t>现有矿山生产企业应按照矿山地质环境治理恢复责任书，严格履行环境保护与治理恢复的相关义务。生产矿山要做到边开采边治理，边恢复还绿；合理选择采选方式和选择尾矿、废石的堆放场地，废水排放要达标，加大矿山防尘、防噪投入，力争实现清洁生产。矿山企业占用损毁的土地要及时复垦恢复。加大对现有矿山企业的监管力度和公众对矿山地质环境监督，推动矿山地质环境保护与治理恢复工作深入开展。至</w:t>
      </w:r>
      <w:r>
        <w:rPr>
          <w:rFonts w:ascii="仿宋" w:hAnsi="仿宋" w:cs="仿宋"/>
        </w:rPr>
        <w:t>2020</w:t>
      </w:r>
      <w:r>
        <w:rPr>
          <w:rFonts w:hint="eastAsia" w:ascii="仿宋" w:hAnsi="仿宋" w:cs="仿宋"/>
        </w:rPr>
        <w:t>年，现有生产矿山对造成的矿山地质环境问题和破坏的土地逐渐实现同步治理、同步恢复。</w:t>
      </w:r>
    </w:p>
    <w:p>
      <w:pPr>
        <w:ind w:firstLine="643"/>
        <w:rPr>
          <w:rFonts w:ascii="仿宋"/>
          <w:b/>
          <w:bCs/>
        </w:rPr>
      </w:pPr>
      <w:r>
        <w:rPr>
          <w:rFonts w:ascii="仿宋" w:hAnsi="仿宋" w:cs="仿宋"/>
          <w:b/>
          <w:bCs/>
        </w:rPr>
        <w:t>3</w:t>
      </w:r>
      <w:r>
        <w:rPr>
          <w:rFonts w:hint="eastAsia" w:ascii="仿宋" w:hAnsi="仿宋" w:cs="仿宋"/>
          <w:b/>
          <w:bCs/>
        </w:rPr>
        <w:t>、历史遗留闭坑矿山地质环境保护</w:t>
      </w:r>
    </w:p>
    <w:p>
      <w:pPr>
        <w:ind w:firstLine="640"/>
        <w:rPr>
          <w:rFonts w:ascii="仿宋"/>
        </w:rPr>
      </w:pPr>
      <w:r>
        <w:rPr>
          <w:rFonts w:hint="eastAsia" w:ascii="仿宋" w:hAnsi="仿宋" w:cs="仿宋"/>
        </w:rPr>
        <w:t>矿山闭坑前必须进行矿山地质环境影响评估，确定采矿权人已经履行矿山地质环境保护与治理方案中规定的职责，进行验收并合格后，方可批准闭坑。坚持</w:t>
      </w:r>
      <w:r>
        <w:rPr>
          <w:rFonts w:hint="eastAsia" w:ascii="仿宋" w:cs="仿宋"/>
        </w:rPr>
        <w:t>“</w:t>
      </w:r>
      <w:r>
        <w:rPr>
          <w:rFonts w:hint="eastAsia" w:ascii="仿宋" w:hAnsi="仿宋" w:cs="仿宋"/>
        </w:rPr>
        <w:t>谁破坏，谁治理，谁投资，谁受益</w:t>
      </w:r>
      <w:r>
        <w:rPr>
          <w:rFonts w:hint="eastAsia" w:ascii="仿宋" w:cs="仿宋"/>
        </w:rPr>
        <w:t>”</w:t>
      </w:r>
      <w:r>
        <w:rPr>
          <w:rFonts w:hint="eastAsia" w:ascii="仿宋" w:hAnsi="仿宋" w:cs="仿宋"/>
        </w:rPr>
        <w:t>原则，提高矿山企业对闭坑矿山地质环境治理恢复的积极性。坚持矿山地质环境保护与治理恢复与土地综合整治相结合，鼓励矿山企业加大矿山地质环境保护与治理恢复的技术投入，转变土地复垦模式，由单一绿化复垦转变为经济效益型复垦，提升复垦土地的经济效益。对于已经闭坑的露天采场，必须全部治理恢复。对于历史遗留下来的矿山地质环境问题，通过国家扶持和采取优惠政策，逐步加以解决。历史遗留而尚未治理的闭坑矿山，至</w:t>
      </w:r>
      <w:r>
        <w:rPr>
          <w:rFonts w:ascii="仿宋" w:hAnsi="仿宋" w:cs="仿宋"/>
        </w:rPr>
        <w:t>2020</w:t>
      </w:r>
      <w:r>
        <w:rPr>
          <w:rFonts w:hint="eastAsia" w:ascii="仿宋" w:hAnsi="仿宋" w:cs="仿宋"/>
        </w:rPr>
        <w:t>年矿山地质环境治理恢复率达</w:t>
      </w:r>
      <w:r>
        <w:rPr>
          <w:rFonts w:ascii="仿宋" w:hAnsi="仿宋" w:cs="仿宋"/>
        </w:rPr>
        <w:t>80%</w:t>
      </w:r>
      <w:r>
        <w:rPr>
          <w:rFonts w:hint="eastAsia" w:ascii="仿宋" w:hAnsi="仿宋" w:cs="仿宋"/>
        </w:rPr>
        <w:t>以上。</w:t>
      </w:r>
    </w:p>
    <w:p>
      <w:pPr>
        <w:pStyle w:val="2"/>
        <w:spacing w:before="156" w:after="156"/>
        <w:rPr>
          <w:rStyle w:val="29"/>
          <w:rFonts w:ascii="仿宋"/>
          <w:b/>
          <w:bCs/>
          <w:sz w:val="32"/>
          <w:szCs w:val="32"/>
        </w:rPr>
      </w:pPr>
      <w:bookmarkStart w:id="75" w:name="_Toc312095577"/>
      <w:bookmarkStart w:id="76" w:name="_Toc288121100"/>
      <w:bookmarkStart w:id="77" w:name="_Toc311557297"/>
      <w:bookmarkStart w:id="78" w:name="_Toc292614434"/>
      <w:r>
        <w:br w:type="page"/>
      </w:r>
      <w:bookmarkStart w:id="79" w:name="_Toc41758827"/>
      <w:bookmarkStart w:id="80" w:name="_Toc425790581"/>
      <w:r>
        <w:rPr>
          <w:rStyle w:val="29"/>
          <w:rFonts w:hint="eastAsia" w:ascii="仿宋" w:hAnsi="仿宋" w:cs="仿宋"/>
          <w:b/>
          <w:bCs/>
          <w:sz w:val="32"/>
          <w:szCs w:val="32"/>
        </w:rPr>
        <w:t>第七章</w:t>
      </w:r>
      <w:r>
        <w:rPr>
          <w:rStyle w:val="29"/>
          <w:rFonts w:ascii="仿宋" w:hAnsi="仿宋" w:cs="仿宋"/>
          <w:b/>
          <w:bCs/>
          <w:sz w:val="32"/>
          <w:szCs w:val="32"/>
        </w:rPr>
        <w:t xml:space="preserve"> </w:t>
      </w:r>
      <w:r>
        <w:rPr>
          <w:rStyle w:val="29"/>
          <w:rFonts w:hint="eastAsia" w:ascii="仿宋" w:hAnsi="仿宋" w:cs="仿宋"/>
          <w:b/>
          <w:bCs/>
          <w:sz w:val="32"/>
          <w:szCs w:val="32"/>
        </w:rPr>
        <w:t>矿业权设置区划及监督管理</w:t>
      </w:r>
      <w:bookmarkEnd w:id="79"/>
      <w:bookmarkEnd w:id="80"/>
    </w:p>
    <w:p>
      <w:pPr>
        <w:spacing w:line="600" w:lineRule="exact"/>
        <w:ind w:firstLine="640"/>
        <w:rPr>
          <w:rFonts w:ascii="仿宋"/>
        </w:rPr>
      </w:pPr>
      <w:bookmarkStart w:id="81" w:name="_Toc425790582"/>
      <w:r>
        <w:rPr>
          <w:rFonts w:hint="eastAsia" w:ascii="仿宋" w:hAnsi="仿宋" w:cs="仿宋"/>
        </w:rPr>
        <w:t>严格实行矿业权区划设置，对于不符合规划区块要求的申请不予批准。原则上一个规划区块只设一个矿权，分割规划区块必须经过论证，在规划期内，按照总量控制原则，对新增加的规划区块，按照规划审批程序报批确定。</w:t>
      </w:r>
    </w:p>
    <w:p>
      <w:pPr>
        <w:pStyle w:val="3"/>
        <w:spacing w:before="156" w:after="156"/>
        <w:rPr>
          <w:rFonts w:ascii="仿宋" w:cs="Times New Roman"/>
        </w:rPr>
      </w:pPr>
      <w:bookmarkStart w:id="82" w:name="_Toc41758828"/>
      <w:r>
        <w:rPr>
          <w:rFonts w:hint="eastAsia" w:ascii="仿宋" w:hAnsi="仿宋" w:cs="仿宋"/>
        </w:rPr>
        <w:t>第一节</w:t>
      </w:r>
      <w:r>
        <w:rPr>
          <w:rFonts w:ascii="仿宋" w:hAnsi="仿宋" w:cs="仿宋"/>
        </w:rPr>
        <w:t xml:space="preserve"> </w:t>
      </w:r>
      <w:r>
        <w:rPr>
          <w:rFonts w:hint="eastAsia" w:ascii="仿宋" w:hAnsi="仿宋" w:cs="仿宋"/>
        </w:rPr>
        <w:t>探矿权设置区划</w:t>
      </w:r>
      <w:bookmarkEnd w:id="81"/>
      <w:bookmarkEnd w:id="82"/>
    </w:p>
    <w:p>
      <w:pPr>
        <w:ind w:firstLine="640"/>
        <w:rPr>
          <w:rFonts w:ascii="仿宋"/>
        </w:rPr>
      </w:pPr>
      <w:r>
        <w:rPr>
          <w:rFonts w:hint="eastAsia" w:ascii="仿宋" w:hAnsi="仿宋" w:cs="仿宋"/>
        </w:rPr>
        <w:t>截至</w:t>
      </w:r>
      <w:r>
        <w:rPr>
          <w:rFonts w:ascii="仿宋" w:hAnsi="仿宋" w:cs="仿宋"/>
        </w:rPr>
        <w:t>2015</w:t>
      </w:r>
      <w:r>
        <w:rPr>
          <w:rFonts w:hint="eastAsia" w:ascii="仿宋" w:hAnsi="仿宋" w:cs="仿宋"/>
        </w:rPr>
        <w:t>年底，</w:t>
      </w:r>
      <w:r>
        <w:rPr>
          <w:rFonts w:hint="eastAsia" w:ascii="仿宋" w:hAnsi="仿宋" w:cs="仿宋"/>
          <w:kern w:val="1"/>
        </w:rPr>
        <w:t>全区共划分勘查规划区块</w:t>
      </w:r>
      <w:r>
        <w:rPr>
          <w:rFonts w:ascii="仿宋" w:hAnsi="仿宋" w:cs="仿宋"/>
          <w:kern w:val="1"/>
        </w:rPr>
        <w:t>2</w:t>
      </w:r>
      <w:r>
        <w:rPr>
          <w:rFonts w:hint="eastAsia" w:ascii="仿宋" w:hAnsi="仿宋" w:cs="仿宋"/>
          <w:kern w:val="1"/>
        </w:rPr>
        <w:t>个（见附表</w:t>
      </w:r>
      <w:r>
        <w:rPr>
          <w:rFonts w:ascii="仿宋" w:hAnsi="仿宋" w:cs="仿宋"/>
          <w:kern w:val="1"/>
        </w:rPr>
        <w:t>8</w:t>
      </w:r>
      <w:r>
        <w:rPr>
          <w:rFonts w:hint="eastAsia" w:ascii="仿宋" w:hAnsi="仿宋" w:cs="仿宋"/>
          <w:kern w:val="1"/>
        </w:rPr>
        <w:t>）</w:t>
      </w:r>
      <w:r>
        <w:rPr>
          <w:rFonts w:hint="eastAsia" w:ascii="仿宋" w:hAnsi="仿宋" w:cs="仿宋"/>
        </w:rPr>
        <w:t>，</w:t>
      </w:r>
      <w:r>
        <w:rPr>
          <w:rFonts w:hint="eastAsia" w:ascii="仿宋" w:hAnsi="仿宋" w:cs="仿宋"/>
          <w:kern w:val="1"/>
        </w:rPr>
        <w:t>其中已设探矿权保留</w:t>
      </w:r>
      <w:r>
        <w:rPr>
          <w:rFonts w:ascii="仿宋" w:hAnsi="仿宋" w:cs="仿宋"/>
          <w:kern w:val="1"/>
        </w:rPr>
        <w:t>1</w:t>
      </w:r>
      <w:r>
        <w:rPr>
          <w:rFonts w:hint="eastAsia" w:ascii="仿宋" w:hAnsi="仿宋" w:cs="仿宋"/>
          <w:kern w:val="1"/>
        </w:rPr>
        <w:t>个，空白区新设</w:t>
      </w:r>
      <w:r>
        <w:rPr>
          <w:rFonts w:ascii="仿宋" w:hAnsi="仿宋" w:cs="仿宋"/>
          <w:kern w:val="1"/>
        </w:rPr>
        <w:t>1</w:t>
      </w:r>
      <w:r>
        <w:rPr>
          <w:rFonts w:hint="eastAsia" w:ascii="仿宋" w:hAnsi="仿宋" w:cs="仿宋"/>
          <w:kern w:val="1"/>
        </w:rPr>
        <w:t>个</w:t>
      </w:r>
      <w:r>
        <w:rPr>
          <w:rFonts w:hint="eastAsia" w:ascii="仿宋" w:hAnsi="仿宋" w:cs="仿宋"/>
        </w:rPr>
        <w:t>。</w:t>
      </w:r>
    </w:p>
    <w:p>
      <w:pPr>
        <w:ind w:firstLine="640"/>
        <w:rPr>
          <w:rFonts w:ascii="仿宋"/>
        </w:rPr>
      </w:pPr>
      <w:r>
        <w:rPr>
          <w:rFonts w:hint="eastAsia" w:ascii="仿宋" w:hAnsi="仿宋" w:cs="仿宋"/>
        </w:rPr>
        <w:t>规划期内，探矿权数量以</w:t>
      </w:r>
      <w:r>
        <w:rPr>
          <w:rFonts w:ascii="仿宋" w:hAnsi="仿宋" w:cs="仿宋"/>
        </w:rPr>
        <w:t>2015</w:t>
      </w:r>
      <w:r>
        <w:rPr>
          <w:rFonts w:hint="eastAsia" w:ascii="仿宋" w:hAnsi="仿宋" w:cs="仿宋"/>
        </w:rPr>
        <w:t>年底探矿权总数（</w:t>
      </w:r>
      <w:r>
        <w:rPr>
          <w:rFonts w:ascii="仿宋" w:hAnsi="仿宋" w:cs="仿宋"/>
        </w:rPr>
        <w:t>1</w:t>
      </w:r>
      <w:r>
        <w:rPr>
          <w:rFonts w:hint="eastAsia" w:ascii="仿宋" w:hAnsi="仿宋" w:cs="仿宋"/>
        </w:rPr>
        <w:t>个）为基数实行总量平衡管理。</w:t>
      </w:r>
    </w:p>
    <w:p>
      <w:pPr>
        <w:pStyle w:val="3"/>
        <w:spacing w:before="156" w:after="156"/>
        <w:rPr>
          <w:rFonts w:ascii="仿宋" w:cs="Times New Roman"/>
        </w:rPr>
      </w:pPr>
      <w:bookmarkStart w:id="83" w:name="_Toc425790583"/>
      <w:bookmarkStart w:id="84" w:name="_Toc41758829"/>
      <w:r>
        <w:rPr>
          <w:rFonts w:hint="eastAsia" w:ascii="仿宋" w:hAnsi="仿宋" w:cs="仿宋"/>
        </w:rPr>
        <w:t>第二节</w:t>
      </w:r>
      <w:r>
        <w:rPr>
          <w:rFonts w:ascii="仿宋" w:hAnsi="仿宋" w:cs="仿宋"/>
        </w:rPr>
        <w:t xml:space="preserve"> </w:t>
      </w:r>
      <w:r>
        <w:rPr>
          <w:rFonts w:hint="eastAsia" w:ascii="仿宋" w:hAnsi="仿宋" w:cs="仿宋"/>
        </w:rPr>
        <w:t>采矿权设置区划</w:t>
      </w:r>
      <w:bookmarkEnd w:id="83"/>
      <w:bookmarkEnd w:id="84"/>
    </w:p>
    <w:p>
      <w:pPr>
        <w:spacing w:after="120"/>
        <w:ind w:firstLine="640"/>
        <w:rPr>
          <w:rFonts w:ascii="仿宋"/>
        </w:rPr>
      </w:pPr>
      <w:r>
        <w:rPr>
          <w:rFonts w:hint="eastAsia" w:ascii="仿宋" w:hAnsi="仿宋" w:cs="仿宋"/>
        </w:rPr>
        <w:t>截至</w:t>
      </w:r>
      <w:r>
        <w:rPr>
          <w:rFonts w:ascii="仿宋" w:hAnsi="仿宋" w:cs="仿宋"/>
        </w:rPr>
        <w:t>2015</w:t>
      </w:r>
      <w:r>
        <w:rPr>
          <w:rFonts w:hint="eastAsia" w:ascii="仿宋" w:hAnsi="仿宋" w:cs="仿宋"/>
        </w:rPr>
        <w:t>年底，全区划分开采规划区块</w:t>
      </w:r>
      <w:r>
        <w:rPr>
          <w:rFonts w:ascii="仿宋" w:hAnsi="仿宋" w:cs="仿宋"/>
        </w:rPr>
        <w:t>17</w:t>
      </w:r>
      <w:r>
        <w:rPr>
          <w:rFonts w:hint="eastAsia" w:ascii="仿宋" w:hAnsi="仿宋" w:cs="仿宋"/>
        </w:rPr>
        <w:t>个（见附表</w:t>
      </w:r>
      <w:r>
        <w:rPr>
          <w:rFonts w:ascii="仿宋" w:hAnsi="仿宋" w:cs="仿宋"/>
        </w:rPr>
        <w:t>10</w:t>
      </w:r>
      <w:r>
        <w:rPr>
          <w:rFonts w:hint="eastAsia" w:ascii="仿宋" w:hAnsi="仿宋" w:cs="仿宋"/>
        </w:rPr>
        <w:t>），其中已设采矿权保留</w:t>
      </w:r>
      <w:r>
        <w:rPr>
          <w:rFonts w:ascii="仿宋" w:hAnsi="仿宋" w:cs="仿宋"/>
        </w:rPr>
        <w:t>6</w:t>
      </w:r>
      <w:r>
        <w:rPr>
          <w:rFonts w:hint="eastAsia" w:ascii="仿宋" w:hAnsi="仿宋" w:cs="仿宋"/>
        </w:rPr>
        <w:t>个，已设采矿权整合</w:t>
      </w:r>
      <w:r>
        <w:rPr>
          <w:rFonts w:ascii="仿宋" w:hAnsi="仿宋" w:cs="仿宋"/>
        </w:rPr>
        <w:t>3</w:t>
      </w:r>
      <w:r>
        <w:rPr>
          <w:rFonts w:hint="eastAsia" w:ascii="仿宋" w:hAnsi="仿宋" w:cs="仿宋"/>
        </w:rPr>
        <w:t>个，空白区新设</w:t>
      </w:r>
      <w:r>
        <w:rPr>
          <w:rFonts w:ascii="仿宋" w:hAnsi="仿宋" w:cs="仿宋"/>
        </w:rPr>
        <w:t>8</w:t>
      </w:r>
      <w:r>
        <w:rPr>
          <w:rFonts w:hint="eastAsia" w:ascii="仿宋" w:hAnsi="仿宋" w:cs="仿宋"/>
        </w:rPr>
        <w:t>个（固体矿产</w:t>
      </w:r>
      <w:r>
        <w:rPr>
          <w:rFonts w:ascii="仿宋" w:hAnsi="仿宋" w:cs="仿宋"/>
        </w:rPr>
        <w:t>6</w:t>
      </w:r>
      <w:r>
        <w:rPr>
          <w:rFonts w:hint="eastAsia" w:ascii="仿宋" w:hAnsi="仿宋" w:cs="仿宋"/>
        </w:rPr>
        <w:t>个，矿泉水</w:t>
      </w:r>
      <w:r>
        <w:rPr>
          <w:rFonts w:ascii="仿宋" w:hAnsi="仿宋" w:cs="仿宋"/>
        </w:rPr>
        <w:t>2</w:t>
      </w:r>
      <w:r>
        <w:rPr>
          <w:rFonts w:hint="eastAsia" w:ascii="仿宋" w:hAnsi="仿宋" w:cs="仿宋"/>
        </w:rPr>
        <w:t>个）。</w:t>
      </w:r>
    </w:p>
    <w:p>
      <w:pPr>
        <w:pStyle w:val="59"/>
        <w:spacing w:after="156"/>
        <w:ind w:firstLine="640"/>
        <w:jc w:val="left"/>
        <w:rPr>
          <w:rFonts w:ascii="仿宋" w:hAnsi="仿宋" w:eastAsia="仿宋" w:cs="Times New Roman"/>
          <w:sz w:val="32"/>
          <w:szCs w:val="32"/>
        </w:rPr>
      </w:pPr>
      <w:r>
        <w:rPr>
          <w:rFonts w:hint="eastAsia" w:ascii="仿宋" w:hAnsi="仿宋" w:eastAsia="仿宋" w:cs="仿宋"/>
          <w:sz w:val="32"/>
          <w:szCs w:val="32"/>
        </w:rPr>
        <w:t>规划期内固体矿产采矿权实行减量化管理，以</w:t>
      </w:r>
      <w:r>
        <w:rPr>
          <w:rFonts w:ascii="仿宋" w:hAnsi="仿宋" w:eastAsia="仿宋" w:cs="仿宋"/>
          <w:sz w:val="32"/>
          <w:szCs w:val="32"/>
        </w:rPr>
        <w:t>2015</w:t>
      </w:r>
      <w:r>
        <w:rPr>
          <w:rFonts w:hint="eastAsia" w:ascii="仿宋" w:hAnsi="仿宋" w:eastAsia="仿宋" w:cs="仿宋"/>
          <w:sz w:val="32"/>
          <w:szCs w:val="32"/>
        </w:rPr>
        <w:t>年底固体矿产采矿权总数（</w:t>
      </w:r>
      <w:r>
        <w:rPr>
          <w:rFonts w:ascii="仿宋" w:hAnsi="仿宋" w:eastAsia="仿宋" w:cs="仿宋"/>
          <w:sz w:val="32"/>
          <w:szCs w:val="32"/>
        </w:rPr>
        <w:t>13</w:t>
      </w:r>
      <w:r>
        <w:rPr>
          <w:rFonts w:hint="eastAsia" w:ascii="仿宋" w:hAnsi="仿宋" w:eastAsia="仿宋" w:cs="仿宋"/>
          <w:sz w:val="32"/>
          <w:szCs w:val="32"/>
        </w:rPr>
        <w:t>个）为基数，规划期末固体矿产采矿权总数实行</w:t>
      </w:r>
      <w:r>
        <w:rPr>
          <w:rFonts w:hint="eastAsia" w:ascii="仿宋" w:hAnsi="仿宋" w:eastAsia="仿宋" w:cs="仿宋"/>
          <w:kern w:val="1"/>
          <w:sz w:val="32"/>
          <w:szCs w:val="32"/>
        </w:rPr>
        <w:t>减量化管理</w:t>
      </w:r>
      <w:r>
        <w:rPr>
          <w:rFonts w:hint="eastAsia" w:ascii="仿宋" w:hAnsi="仿宋" w:eastAsia="仿宋" w:cs="仿宋"/>
          <w:sz w:val="32"/>
          <w:szCs w:val="32"/>
        </w:rPr>
        <w:t>。</w:t>
      </w:r>
    </w:p>
    <w:p>
      <w:pPr>
        <w:pStyle w:val="3"/>
        <w:spacing w:before="156" w:after="156"/>
        <w:rPr>
          <w:rFonts w:ascii="仿宋" w:cs="Times New Roman"/>
        </w:rPr>
      </w:pPr>
      <w:bookmarkStart w:id="85" w:name="_Toc41758830"/>
      <w:bookmarkStart w:id="86" w:name="_Toc425790584"/>
      <w:r>
        <w:rPr>
          <w:rFonts w:hint="eastAsia" w:ascii="仿宋" w:hAnsi="仿宋" w:cs="仿宋"/>
        </w:rPr>
        <w:t>第三节</w:t>
      </w:r>
      <w:r>
        <w:rPr>
          <w:rFonts w:ascii="仿宋" w:hAnsi="仿宋" w:cs="仿宋"/>
        </w:rPr>
        <w:t xml:space="preserve"> </w:t>
      </w:r>
      <w:r>
        <w:rPr>
          <w:rFonts w:hint="eastAsia" w:ascii="仿宋" w:hAnsi="仿宋" w:cs="仿宋"/>
        </w:rPr>
        <w:t>严格勘查开发监督管理</w:t>
      </w:r>
      <w:bookmarkEnd w:id="85"/>
      <w:bookmarkEnd w:id="86"/>
    </w:p>
    <w:p>
      <w:pPr>
        <w:pStyle w:val="4"/>
        <w:ind w:firstLine="643"/>
        <w:rPr>
          <w:rFonts w:ascii="仿宋"/>
        </w:rPr>
      </w:pPr>
      <w:r>
        <w:rPr>
          <w:rFonts w:hint="eastAsia" w:ascii="仿宋" w:hAnsi="仿宋" w:cs="仿宋"/>
        </w:rPr>
        <w:t>一、监管责任</w:t>
      </w:r>
    </w:p>
    <w:p>
      <w:pPr>
        <w:ind w:firstLine="640"/>
        <w:rPr>
          <w:rFonts w:ascii="仿宋"/>
        </w:rPr>
      </w:pPr>
      <w:r>
        <w:rPr>
          <w:rFonts w:hint="eastAsia" w:ascii="仿宋" w:hAnsi="仿宋" w:cs="仿宋"/>
        </w:rPr>
        <w:t>《中华人民共和国矿产资源法》第十九条明确规定：</w:t>
      </w:r>
      <w:r>
        <w:rPr>
          <w:rFonts w:hint="eastAsia" w:ascii="仿宋" w:cs="仿宋"/>
        </w:rPr>
        <w:t>“</w:t>
      </w:r>
      <w:r>
        <w:rPr>
          <w:rFonts w:hint="eastAsia" w:ascii="仿宋" w:hAnsi="仿宋" w:cs="仿宋"/>
        </w:rPr>
        <w:t>地方各级人民政府应当采取措施，维护本行政区域内的国有矿山企业和其他矿山企业矿区范围内的正常秩序。</w:t>
      </w:r>
      <w:r>
        <w:rPr>
          <w:rFonts w:hint="eastAsia" w:ascii="仿宋" w:cs="仿宋"/>
        </w:rPr>
        <w:t>”</w:t>
      </w:r>
      <w:r>
        <w:rPr>
          <w:rFonts w:hint="eastAsia" w:ascii="仿宋" w:hAnsi="仿宋" w:cs="仿宋"/>
        </w:rPr>
        <w:t>各级地矿行政主管部门应该在同级人民政府的领导下，依法履行监督管理的职责。</w:t>
      </w:r>
    </w:p>
    <w:p>
      <w:pPr>
        <w:pStyle w:val="4"/>
        <w:ind w:firstLine="643"/>
        <w:rPr>
          <w:rFonts w:ascii="仿宋"/>
        </w:rPr>
      </w:pPr>
      <w:r>
        <w:rPr>
          <w:rFonts w:hint="eastAsia" w:ascii="仿宋" w:hAnsi="仿宋" w:cs="仿宋"/>
        </w:rPr>
        <w:t>二、监管领域</w:t>
      </w:r>
    </w:p>
    <w:p>
      <w:pPr>
        <w:ind w:firstLine="640"/>
        <w:rPr>
          <w:rFonts w:ascii="仿宋"/>
        </w:rPr>
      </w:pPr>
      <w:r>
        <w:rPr>
          <w:rFonts w:hint="eastAsia" w:ascii="仿宋" w:hAnsi="仿宋" w:cs="仿宋"/>
        </w:rPr>
        <w:t>国土资源行政主管部门要认真组织所属区级基层地矿行政主管部门，对本行政区已发的勘查许可证和采矿许可证，进行梳理。在梳理工作中，要认真核准许可证是否符合规定的资质条件和法定程序，依法查处违法发证，以采代探和越界采矿，擅自转让矿业权等违法行为。</w:t>
      </w:r>
    </w:p>
    <w:p>
      <w:pPr>
        <w:pStyle w:val="4"/>
        <w:ind w:firstLine="643"/>
        <w:rPr>
          <w:rFonts w:ascii="仿宋"/>
        </w:rPr>
      </w:pPr>
      <w:r>
        <w:rPr>
          <w:rFonts w:hint="eastAsia" w:ascii="仿宋" w:hAnsi="仿宋" w:cs="仿宋"/>
        </w:rPr>
        <w:t>三、监管措施</w:t>
      </w:r>
    </w:p>
    <w:p>
      <w:pPr>
        <w:ind w:firstLine="640"/>
        <w:rPr>
          <w:rFonts w:ascii="仿宋"/>
        </w:rPr>
      </w:pPr>
      <w:r>
        <w:rPr>
          <w:rFonts w:hint="eastAsia" w:ascii="仿宋" w:hAnsi="仿宋" w:cs="仿宋"/>
        </w:rPr>
        <w:t>区国土资源局要切实加强依法办事的自觉性、紧迫性，认真杜绝不当的和违法的行政行为。同时，要根据推进矿业管理工作公开化、规范化制度建设，加快矿业权信息系统建设的步伐，提供社会服务，接受社会监督。</w:t>
      </w:r>
    </w:p>
    <w:p>
      <w:pPr>
        <w:pStyle w:val="2"/>
        <w:spacing w:before="156" w:after="156"/>
        <w:rPr>
          <w:rStyle w:val="29"/>
          <w:rFonts w:ascii="仿宋"/>
          <w:b/>
          <w:bCs/>
          <w:sz w:val="32"/>
          <w:szCs w:val="32"/>
        </w:rPr>
      </w:pPr>
      <w:r>
        <w:br w:type="page"/>
      </w:r>
      <w:bookmarkStart w:id="87" w:name="_Toc425790585"/>
      <w:bookmarkStart w:id="88" w:name="_Toc41758831"/>
      <w:r>
        <w:rPr>
          <w:rStyle w:val="29"/>
          <w:rFonts w:hint="eastAsia" w:ascii="仿宋" w:hAnsi="仿宋" w:cs="仿宋"/>
          <w:b/>
          <w:bCs/>
          <w:sz w:val="32"/>
          <w:szCs w:val="32"/>
        </w:rPr>
        <w:t>第八章</w:t>
      </w:r>
      <w:r>
        <w:rPr>
          <w:rStyle w:val="29"/>
          <w:rFonts w:ascii="仿宋" w:hAnsi="仿宋" w:cs="仿宋"/>
          <w:b/>
          <w:bCs/>
          <w:sz w:val="32"/>
          <w:szCs w:val="32"/>
        </w:rPr>
        <w:t xml:space="preserve"> </w:t>
      </w:r>
      <w:r>
        <w:rPr>
          <w:rStyle w:val="29"/>
          <w:rFonts w:hint="eastAsia" w:ascii="仿宋" w:hAnsi="仿宋" w:cs="仿宋"/>
          <w:b/>
          <w:bCs/>
          <w:sz w:val="32"/>
          <w:szCs w:val="32"/>
        </w:rPr>
        <w:t>规划实施管理</w:t>
      </w:r>
      <w:bookmarkEnd w:id="87"/>
      <w:bookmarkEnd w:id="88"/>
    </w:p>
    <w:p>
      <w:pPr>
        <w:pStyle w:val="3"/>
        <w:spacing w:before="156" w:after="156"/>
        <w:rPr>
          <w:rFonts w:ascii="仿宋" w:cs="Times New Roman"/>
        </w:rPr>
      </w:pPr>
      <w:bookmarkStart w:id="89" w:name="_Toc41758832"/>
      <w:r>
        <w:rPr>
          <w:rFonts w:hint="eastAsia" w:ascii="仿宋" w:hAnsi="仿宋" w:cs="仿宋"/>
        </w:rPr>
        <w:t>第一节</w:t>
      </w:r>
      <w:r>
        <w:rPr>
          <w:rFonts w:ascii="仿宋" w:hAnsi="仿宋" w:cs="仿宋"/>
        </w:rPr>
        <w:t xml:space="preserve"> </w:t>
      </w:r>
      <w:r>
        <w:rPr>
          <w:rFonts w:hint="eastAsia" w:ascii="仿宋" w:hAnsi="仿宋" w:cs="仿宋"/>
        </w:rPr>
        <w:t>强化规划制度化管理</w:t>
      </w:r>
      <w:bookmarkEnd w:id="89"/>
    </w:p>
    <w:p>
      <w:pPr>
        <w:ind w:firstLine="640"/>
      </w:pPr>
      <w:r>
        <w:rPr>
          <w:rFonts w:hint="eastAsia" w:cs="仿宋"/>
        </w:rPr>
        <w:t>区级人民政府应当采取措施，严格执行规划，维护本行政区域内矿产资源勘查与开发利用的正常秩序。严格规划审查和许可证制度，矿产资源调查评价、勘查、开采、保护和矿山地质环境治理恢复和土地复垦项目，矿业权的审批、出让、变更和延续等必须符合规划，对不符合规划要求的，不得批准立项，不得审批颁发勘查许可证和采矿许可证，不得批准用地。在新发现的矿产地申请开展勘查开采活动的，必须纳入规划，严格论证，统筹安排。</w:t>
      </w:r>
    </w:p>
    <w:p>
      <w:pPr>
        <w:pStyle w:val="3"/>
        <w:spacing w:before="156" w:after="156"/>
        <w:rPr>
          <w:rFonts w:ascii="仿宋" w:cs="Times New Roman"/>
        </w:rPr>
      </w:pPr>
      <w:bookmarkStart w:id="90" w:name="_Toc41758833"/>
      <w:bookmarkStart w:id="91" w:name="_Toc477356479"/>
      <w:r>
        <w:rPr>
          <w:rFonts w:hint="eastAsia" w:ascii="仿宋" w:hAnsi="仿宋" w:cs="仿宋"/>
        </w:rPr>
        <w:t>第二节</w:t>
      </w:r>
      <w:r>
        <w:rPr>
          <w:rFonts w:ascii="仿宋" w:hAnsi="仿宋" w:cs="仿宋"/>
        </w:rPr>
        <w:t xml:space="preserve"> </w:t>
      </w:r>
      <w:r>
        <w:rPr>
          <w:rFonts w:hint="eastAsia" w:ascii="仿宋" w:hAnsi="仿宋" w:cs="仿宋"/>
        </w:rPr>
        <w:t>健全完善规划审查制度</w:t>
      </w:r>
      <w:bookmarkEnd w:id="90"/>
      <w:bookmarkEnd w:id="91"/>
    </w:p>
    <w:p>
      <w:pPr>
        <w:ind w:firstLine="640"/>
      </w:pPr>
      <w:r>
        <w:rPr>
          <w:rFonts w:hint="eastAsia" w:cs="仿宋"/>
        </w:rPr>
        <w:t>建立健全矿产资源规划的审查制度，严格执行规划禁止、限制开采矿中的规定，对限制勘查开采矿种，要按照开采总量控制指标和准入条件加强审核，达到准入条件的方可投放矿业权。严格落实规划分区管理制度，限制勘查开采区要严格论证，达到准入条件后方可投放矿业权。加强勘查开采规划区块管理，一个规划区块原则上只设置一个主体，确保整装勘查、规模开发。严格执行最低开采规模、开发利用效率、矿山地质环境保护等规划准入条件，对不符合规划准入条件的，不予通过审查。</w:t>
      </w:r>
    </w:p>
    <w:p>
      <w:pPr>
        <w:pStyle w:val="3"/>
        <w:spacing w:before="156" w:after="156"/>
        <w:rPr>
          <w:rFonts w:ascii="仿宋" w:cs="Times New Roman"/>
        </w:rPr>
      </w:pPr>
      <w:bookmarkStart w:id="92" w:name="_Toc41758834"/>
      <w:bookmarkStart w:id="93" w:name="_Toc477356480"/>
      <w:r>
        <w:rPr>
          <w:rFonts w:hint="eastAsia" w:ascii="仿宋" w:hAnsi="仿宋" w:cs="仿宋"/>
        </w:rPr>
        <w:t>第三节</w:t>
      </w:r>
      <w:r>
        <w:rPr>
          <w:rFonts w:ascii="仿宋" w:hAnsi="仿宋" w:cs="仿宋"/>
        </w:rPr>
        <w:t xml:space="preserve"> </w:t>
      </w:r>
      <w:r>
        <w:rPr>
          <w:rFonts w:hint="eastAsia" w:ascii="仿宋" w:hAnsi="仿宋" w:cs="仿宋"/>
        </w:rPr>
        <w:t>健全完善规划实施评估调整机制</w:t>
      </w:r>
      <w:bookmarkEnd w:id="92"/>
      <w:bookmarkEnd w:id="93"/>
    </w:p>
    <w:p>
      <w:pPr>
        <w:ind w:firstLine="640"/>
      </w:pPr>
      <w:r>
        <w:rPr>
          <w:rFonts w:hint="eastAsia" w:cs="仿宋"/>
        </w:rPr>
        <w:t>对规划实施进行年度执行情况检查，开展规划实施中期评估，及时做出调整和修订。建立规划实施评估机制，评估报告报规划审批机关备案，并作为规划调整和修订的依据。因形势变化需要进行指标调整的，应进行科学论证。严格规划调整和修编的程序，应对规划调整和修编的必要性、合理性、和合法性等进行评估和论证。</w:t>
      </w:r>
    </w:p>
    <w:p>
      <w:pPr>
        <w:pStyle w:val="3"/>
        <w:spacing w:before="156" w:after="156"/>
        <w:rPr>
          <w:rFonts w:ascii="仿宋" w:cs="Times New Roman"/>
        </w:rPr>
      </w:pPr>
      <w:bookmarkStart w:id="94" w:name="_Toc477356481"/>
      <w:bookmarkStart w:id="95" w:name="_Toc41758835"/>
      <w:r>
        <w:rPr>
          <w:rFonts w:hint="eastAsia" w:ascii="仿宋" w:hAnsi="仿宋" w:cs="仿宋"/>
        </w:rPr>
        <w:t>第四节</w:t>
      </w:r>
      <w:r>
        <w:rPr>
          <w:rFonts w:ascii="仿宋" w:hAnsi="仿宋" w:cs="仿宋"/>
        </w:rPr>
        <w:t xml:space="preserve"> </w:t>
      </w:r>
      <w:r>
        <w:rPr>
          <w:rFonts w:hint="eastAsia" w:ascii="仿宋" w:hAnsi="仿宋" w:cs="仿宋"/>
        </w:rPr>
        <w:t>加强规划实施情况监督检查</w:t>
      </w:r>
      <w:bookmarkEnd w:id="94"/>
      <w:bookmarkEnd w:id="95"/>
    </w:p>
    <w:p>
      <w:pPr>
        <w:ind w:firstLine="640"/>
      </w:pPr>
      <w:r>
        <w:rPr>
          <w:rFonts w:hint="eastAsia" w:cs="仿宋"/>
        </w:rPr>
        <w:t>矿产资源规划的实施，涉及多个管理部门，县级规划要在区政府的统一领导下，加强对规划执行情况的监督检查，重点包括开采总量是否按规划得到控制、矿业权设置是否符合规划要求、布局结构是否按规划优化调整，以及地质环境恢复和土地复垦目标任务是否如期完成等。</w:t>
      </w:r>
    </w:p>
    <w:p>
      <w:pPr>
        <w:pStyle w:val="3"/>
        <w:spacing w:before="156" w:after="156"/>
        <w:rPr>
          <w:rFonts w:ascii="仿宋" w:cs="Times New Roman"/>
        </w:rPr>
      </w:pPr>
      <w:bookmarkStart w:id="96" w:name="_Toc477356482"/>
      <w:bookmarkStart w:id="97" w:name="_Toc41758836"/>
      <w:r>
        <w:rPr>
          <w:rFonts w:hint="eastAsia" w:ascii="仿宋" w:hAnsi="仿宋" w:cs="仿宋"/>
        </w:rPr>
        <w:t>第五节</w:t>
      </w:r>
      <w:r>
        <w:rPr>
          <w:rFonts w:ascii="仿宋" w:hAnsi="仿宋" w:cs="仿宋"/>
        </w:rPr>
        <w:t xml:space="preserve"> </w:t>
      </w:r>
      <w:r>
        <w:rPr>
          <w:rFonts w:hint="eastAsia" w:ascii="仿宋" w:hAnsi="仿宋" w:cs="仿宋"/>
        </w:rPr>
        <w:t>提高规划管理信息化水平</w:t>
      </w:r>
      <w:bookmarkEnd w:id="96"/>
      <w:bookmarkEnd w:id="97"/>
    </w:p>
    <w:p>
      <w:pPr>
        <w:ind w:firstLine="640"/>
      </w:pPr>
      <w:r>
        <w:rPr>
          <w:rFonts w:hint="eastAsia" w:cs="仿宋"/>
        </w:rPr>
        <w:t>完善矿产资源规划数据库，做好规划管理信息与相关信息的资源整合，实现与矿产资源勘查、开发利用、储量和矿业权等基础数据库的衔接和共享，准确的掌握矿产资源勘查与开发利用情况，矿山生态环境的变化及规划的实施情况，提高规划管理的效率和服务水平。</w:t>
      </w:r>
    </w:p>
    <w:p>
      <w:pPr>
        <w:pStyle w:val="2"/>
        <w:spacing w:before="156" w:after="156"/>
        <w:rPr>
          <w:rStyle w:val="29"/>
          <w:rFonts w:ascii="仿宋"/>
          <w:b/>
          <w:bCs/>
          <w:sz w:val="32"/>
          <w:szCs w:val="32"/>
        </w:rPr>
      </w:pPr>
      <w:r>
        <w:br w:type="page"/>
      </w:r>
      <w:bookmarkEnd w:id="75"/>
      <w:bookmarkEnd w:id="76"/>
      <w:bookmarkEnd w:id="77"/>
      <w:bookmarkEnd w:id="78"/>
      <w:bookmarkStart w:id="98" w:name="_Toc311557306"/>
      <w:bookmarkStart w:id="99" w:name="_Toc266949929"/>
      <w:bookmarkStart w:id="100" w:name="_Toc273428465"/>
      <w:bookmarkStart w:id="101" w:name="_Toc273428578"/>
      <w:bookmarkStart w:id="102" w:name="_Toc41758837"/>
      <w:bookmarkStart w:id="103" w:name="_Toc263945894"/>
      <w:bookmarkStart w:id="104" w:name="_Toc312095586"/>
      <w:r>
        <w:rPr>
          <w:rStyle w:val="29"/>
          <w:rFonts w:hint="eastAsia" w:ascii="仿宋" w:hAnsi="仿宋" w:cs="仿宋"/>
          <w:b/>
          <w:bCs/>
          <w:sz w:val="32"/>
          <w:szCs w:val="32"/>
        </w:rPr>
        <w:t>附</w:t>
      </w:r>
      <w:r>
        <w:rPr>
          <w:rStyle w:val="29"/>
          <w:rFonts w:ascii="仿宋" w:hAnsi="仿宋" w:cs="仿宋"/>
          <w:b/>
          <w:bCs/>
          <w:sz w:val="32"/>
          <w:szCs w:val="32"/>
        </w:rPr>
        <w:t xml:space="preserve">  </w:t>
      </w:r>
      <w:r>
        <w:rPr>
          <w:rStyle w:val="29"/>
          <w:rFonts w:hint="eastAsia" w:ascii="仿宋" w:hAnsi="仿宋" w:cs="仿宋"/>
          <w:b/>
          <w:bCs/>
          <w:sz w:val="32"/>
          <w:szCs w:val="32"/>
        </w:rPr>
        <w:t>则</w:t>
      </w:r>
      <w:bookmarkEnd w:id="98"/>
      <w:bookmarkEnd w:id="99"/>
      <w:bookmarkEnd w:id="100"/>
      <w:bookmarkEnd w:id="101"/>
      <w:bookmarkEnd w:id="102"/>
      <w:bookmarkEnd w:id="103"/>
      <w:bookmarkEnd w:id="104"/>
    </w:p>
    <w:p>
      <w:pPr>
        <w:spacing w:line="360" w:lineRule="auto"/>
        <w:ind w:firstLine="640"/>
        <w:rPr>
          <w:rFonts w:ascii="仿宋"/>
          <w:kern w:val="0"/>
        </w:rPr>
      </w:pPr>
      <w:r>
        <w:rPr>
          <w:rFonts w:hint="eastAsia" w:ascii="仿宋" w:hAnsi="仿宋" w:cs="仿宋"/>
          <w:kern w:val="0"/>
        </w:rPr>
        <w:t>《承德市鹰手营子矿区矿产资源总体规划（</w:t>
      </w:r>
      <w:r>
        <w:rPr>
          <w:rFonts w:ascii="仿宋" w:hAnsi="仿宋" w:cs="仿宋"/>
          <w:kern w:val="0"/>
        </w:rPr>
        <w:t>2016</w:t>
      </w:r>
      <w:r>
        <w:rPr>
          <w:rFonts w:hint="eastAsia" w:ascii="仿宋" w:hAnsi="仿宋" w:cs="仿宋"/>
          <w:kern w:val="0"/>
        </w:rPr>
        <w:t>～</w:t>
      </w:r>
      <w:r>
        <w:rPr>
          <w:rFonts w:ascii="仿宋" w:hAnsi="仿宋" w:cs="仿宋"/>
          <w:kern w:val="0"/>
        </w:rPr>
        <w:t>2020</w:t>
      </w:r>
      <w:r>
        <w:rPr>
          <w:rFonts w:hint="eastAsia" w:ascii="仿宋" w:hAnsi="仿宋" w:cs="仿宋"/>
          <w:kern w:val="0"/>
        </w:rPr>
        <w:t>年）》由文本、附表和附图组成，三者具有同等效力。</w:t>
      </w:r>
    </w:p>
    <w:p>
      <w:pPr>
        <w:spacing w:line="360" w:lineRule="auto"/>
        <w:ind w:firstLine="640"/>
        <w:rPr>
          <w:rFonts w:ascii="仿宋"/>
          <w:kern w:val="0"/>
        </w:rPr>
      </w:pPr>
      <w:r>
        <w:rPr>
          <w:rFonts w:hint="eastAsia" w:ascii="仿宋" w:hAnsi="仿宋" w:cs="仿宋"/>
          <w:kern w:val="0"/>
        </w:rPr>
        <w:t>本《规划》经承德市自然资源和规划局</w:t>
      </w:r>
      <w:r>
        <w:rPr>
          <w:rFonts w:hint="eastAsia" w:ascii="仿宋" w:hAnsi="仿宋" w:cs="仿宋"/>
          <w:kern w:val="0"/>
          <w:lang w:eastAsia="zh-CN"/>
        </w:rPr>
        <w:t>组织论证，</w:t>
      </w:r>
      <w:r>
        <w:rPr>
          <w:rFonts w:hint="eastAsia" w:ascii="仿宋" w:hAnsi="仿宋" w:cs="仿宋"/>
          <w:kern w:val="0"/>
        </w:rPr>
        <w:t>由</w:t>
      </w:r>
      <w:r>
        <w:rPr>
          <w:rFonts w:hint="eastAsia" w:ascii="仿宋" w:hAnsi="仿宋" w:cs="仿宋"/>
          <w:kern w:val="0"/>
          <w:lang w:eastAsia="zh-CN"/>
        </w:rPr>
        <w:t>承</w:t>
      </w:r>
      <w:r>
        <w:rPr>
          <w:rFonts w:hint="eastAsia" w:ascii="仿宋" w:hAnsi="仿宋" w:cs="仿宋"/>
          <w:kern w:val="0"/>
        </w:rPr>
        <w:t>德市鹰手营子矿区人民政府发布实施。</w:t>
      </w:r>
    </w:p>
    <w:p>
      <w:pPr>
        <w:ind w:firstLine="640"/>
        <w:rPr>
          <w:rFonts w:ascii="仿宋"/>
        </w:rPr>
      </w:pPr>
      <w:r>
        <w:rPr>
          <w:rFonts w:hint="eastAsia" w:ascii="仿宋" w:hAnsi="仿宋" w:cs="仿宋"/>
        </w:rPr>
        <w:t>本《规划》由承德市鹰手营子矿区自然资源和规划局负责解释。</w:t>
      </w:r>
    </w:p>
    <w:sectPr>
      <w:pgSz w:w="11906" w:h="16838"/>
      <w:pgMar w:top="1474" w:right="1588" w:bottom="1588" w:left="1474"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6"/>
      </w:rPr>
    </w:pPr>
    <w:r>
      <w:rPr>
        <w:rStyle w:val="26"/>
      </w:rPr>
      <w:fldChar w:fldCharType="begin"/>
    </w:r>
    <w:r>
      <w:rPr>
        <w:rStyle w:val="26"/>
      </w:rPr>
      <w:instrText xml:space="preserve">PAGE  </w:instrText>
    </w:r>
    <w:r>
      <w:rPr>
        <w:rStyle w:val="26"/>
      </w:rPr>
      <w:fldChar w:fldCharType="separate"/>
    </w:r>
    <w:r>
      <w:rPr>
        <w:rStyle w:val="26"/>
      </w:rPr>
      <w:t>12</w:t>
    </w:r>
    <w:r>
      <w:rPr>
        <w:rStyle w:val="26"/>
      </w:rP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4ZDBmNzU5YjdmZDY1M2E3NzFkNTQyNGU1ZTIzMjEifQ=="/>
  </w:docVars>
  <w:rsids>
    <w:rsidRoot w:val="003E0CC4"/>
    <w:rsid w:val="0000321F"/>
    <w:rsid w:val="00003890"/>
    <w:rsid w:val="00006C84"/>
    <w:rsid w:val="000105A2"/>
    <w:rsid w:val="00011B9D"/>
    <w:rsid w:val="000140F5"/>
    <w:rsid w:val="0002383E"/>
    <w:rsid w:val="00023AEA"/>
    <w:rsid w:val="00027483"/>
    <w:rsid w:val="00034124"/>
    <w:rsid w:val="00042067"/>
    <w:rsid w:val="0007339E"/>
    <w:rsid w:val="0007520A"/>
    <w:rsid w:val="000778CB"/>
    <w:rsid w:val="00080778"/>
    <w:rsid w:val="000814E9"/>
    <w:rsid w:val="0008487B"/>
    <w:rsid w:val="00090F02"/>
    <w:rsid w:val="0009472E"/>
    <w:rsid w:val="0009721F"/>
    <w:rsid w:val="000A47B9"/>
    <w:rsid w:val="000A7886"/>
    <w:rsid w:val="000C1BDA"/>
    <w:rsid w:val="000C4718"/>
    <w:rsid w:val="000D4CAC"/>
    <w:rsid w:val="000D62B5"/>
    <w:rsid w:val="000E1AFC"/>
    <w:rsid w:val="000F0CA8"/>
    <w:rsid w:val="000F4632"/>
    <w:rsid w:val="00101C71"/>
    <w:rsid w:val="0011778A"/>
    <w:rsid w:val="00117794"/>
    <w:rsid w:val="00122660"/>
    <w:rsid w:val="00132042"/>
    <w:rsid w:val="0014157F"/>
    <w:rsid w:val="00144328"/>
    <w:rsid w:val="00152084"/>
    <w:rsid w:val="00165AAA"/>
    <w:rsid w:val="00170EFF"/>
    <w:rsid w:val="0017205B"/>
    <w:rsid w:val="001737B9"/>
    <w:rsid w:val="001859C3"/>
    <w:rsid w:val="001859E1"/>
    <w:rsid w:val="00194CA5"/>
    <w:rsid w:val="001A1B25"/>
    <w:rsid w:val="001A1E9B"/>
    <w:rsid w:val="001A2565"/>
    <w:rsid w:val="001A7A97"/>
    <w:rsid w:val="001B1A2D"/>
    <w:rsid w:val="001B67AE"/>
    <w:rsid w:val="001C186F"/>
    <w:rsid w:val="001C2F54"/>
    <w:rsid w:val="001C6EB9"/>
    <w:rsid w:val="001D75E5"/>
    <w:rsid w:val="001F7C28"/>
    <w:rsid w:val="001F7D6E"/>
    <w:rsid w:val="00204E78"/>
    <w:rsid w:val="00206B04"/>
    <w:rsid w:val="00215D2F"/>
    <w:rsid w:val="002275CE"/>
    <w:rsid w:val="00230898"/>
    <w:rsid w:val="002311A2"/>
    <w:rsid w:val="002341F9"/>
    <w:rsid w:val="002477D4"/>
    <w:rsid w:val="00255A12"/>
    <w:rsid w:val="00257C20"/>
    <w:rsid w:val="00260302"/>
    <w:rsid w:val="002606AF"/>
    <w:rsid w:val="00260C53"/>
    <w:rsid w:val="002625DE"/>
    <w:rsid w:val="0026483F"/>
    <w:rsid w:val="00267BFD"/>
    <w:rsid w:val="0027423F"/>
    <w:rsid w:val="00284366"/>
    <w:rsid w:val="002B1DF6"/>
    <w:rsid w:val="002B701A"/>
    <w:rsid w:val="002C08B1"/>
    <w:rsid w:val="002D44A6"/>
    <w:rsid w:val="002E3A67"/>
    <w:rsid w:val="002E533C"/>
    <w:rsid w:val="002F30BF"/>
    <w:rsid w:val="0030566E"/>
    <w:rsid w:val="00314F3A"/>
    <w:rsid w:val="003153AE"/>
    <w:rsid w:val="00316759"/>
    <w:rsid w:val="00325D2D"/>
    <w:rsid w:val="00325D7D"/>
    <w:rsid w:val="003347E1"/>
    <w:rsid w:val="0035562F"/>
    <w:rsid w:val="00367A9B"/>
    <w:rsid w:val="003742B9"/>
    <w:rsid w:val="0037635C"/>
    <w:rsid w:val="00386188"/>
    <w:rsid w:val="00393C58"/>
    <w:rsid w:val="003A0483"/>
    <w:rsid w:val="003B185C"/>
    <w:rsid w:val="003B511C"/>
    <w:rsid w:val="003B61E0"/>
    <w:rsid w:val="003B69AC"/>
    <w:rsid w:val="003C646B"/>
    <w:rsid w:val="003D70AC"/>
    <w:rsid w:val="003E0CC4"/>
    <w:rsid w:val="003E1424"/>
    <w:rsid w:val="003F1954"/>
    <w:rsid w:val="003F50C6"/>
    <w:rsid w:val="003F64FC"/>
    <w:rsid w:val="004048FB"/>
    <w:rsid w:val="00404A5A"/>
    <w:rsid w:val="00411C02"/>
    <w:rsid w:val="00417ED4"/>
    <w:rsid w:val="00430CF7"/>
    <w:rsid w:val="004311BC"/>
    <w:rsid w:val="00434DCE"/>
    <w:rsid w:val="00436485"/>
    <w:rsid w:val="00444E1B"/>
    <w:rsid w:val="00453F95"/>
    <w:rsid w:val="004564F1"/>
    <w:rsid w:val="004570A7"/>
    <w:rsid w:val="00465382"/>
    <w:rsid w:val="00471E84"/>
    <w:rsid w:val="00481A9A"/>
    <w:rsid w:val="00487AB6"/>
    <w:rsid w:val="00490ED2"/>
    <w:rsid w:val="004952B7"/>
    <w:rsid w:val="00495742"/>
    <w:rsid w:val="004971E1"/>
    <w:rsid w:val="004A43A1"/>
    <w:rsid w:val="004C0D6D"/>
    <w:rsid w:val="004C2E69"/>
    <w:rsid w:val="004C4F57"/>
    <w:rsid w:val="004E179E"/>
    <w:rsid w:val="004E3132"/>
    <w:rsid w:val="004F0052"/>
    <w:rsid w:val="004F1DFE"/>
    <w:rsid w:val="004F3C45"/>
    <w:rsid w:val="004F7E5E"/>
    <w:rsid w:val="005039FA"/>
    <w:rsid w:val="00513803"/>
    <w:rsid w:val="00523D88"/>
    <w:rsid w:val="00524823"/>
    <w:rsid w:val="005262DC"/>
    <w:rsid w:val="00531E84"/>
    <w:rsid w:val="00544BCD"/>
    <w:rsid w:val="00555B77"/>
    <w:rsid w:val="0055646B"/>
    <w:rsid w:val="00557C6E"/>
    <w:rsid w:val="0056567B"/>
    <w:rsid w:val="00576AFD"/>
    <w:rsid w:val="00581275"/>
    <w:rsid w:val="005C701A"/>
    <w:rsid w:val="005D0576"/>
    <w:rsid w:val="005D5991"/>
    <w:rsid w:val="005E4CC7"/>
    <w:rsid w:val="005F458E"/>
    <w:rsid w:val="005F6A30"/>
    <w:rsid w:val="006049BE"/>
    <w:rsid w:val="006067BD"/>
    <w:rsid w:val="00614D38"/>
    <w:rsid w:val="00620CB6"/>
    <w:rsid w:val="00627C7E"/>
    <w:rsid w:val="00631D48"/>
    <w:rsid w:val="006329BD"/>
    <w:rsid w:val="00644187"/>
    <w:rsid w:val="00644865"/>
    <w:rsid w:val="00646CB9"/>
    <w:rsid w:val="00647101"/>
    <w:rsid w:val="006503B0"/>
    <w:rsid w:val="00684136"/>
    <w:rsid w:val="00690342"/>
    <w:rsid w:val="0069185F"/>
    <w:rsid w:val="00697EF4"/>
    <w:rsid w:val="006A19F1"/>
    <w:rsid w:val="006A33B2"/>
    <w:rsid w:val="006A4C5A"/>
    <w:rsid w:val="006A785D"/>
    <w:rsid w:val="006B01FC"/>
    <w:rsid w:val="006B6560"/>
    <w:rsid w:val="006B6827"/>
    <w:rsid w:val="006C14FE"/>
    <w:rsid w:val="006D2F98"/>
    <w:rsid w:val="006D52ED"/>
    <w:rsid w:val="006E7355"/>
    <w:rsid w:val="006F1E35"/>
    <w:rsid w:val="006F61B5"/>
    <w:rsid w:val="007019D9"/>
    <w:rsid w:val="00701C1F"/>
    <w:rsid w:val="00712B80"/>
    <w:rsid w:val="00716741"/>
    <w:rsid w:val="00720A01"/>
    <w:rsid w:val="00720FE5"/>
    <w:rsid w:val="00732355"/>
    <w:rsid w:val="00745103"/>
    <w:rsid w:val="00746FA3"/>
    <w:rsid w:val="0075038E"/>
    <w:rsid w:val="007548A3"/>
    <w:rsid w:val="00755F26"/>
    <w:rsid w:val="007562C9"/>
    <w:rsid w:val="0076130C"/>
    <w:rsid w:val="0077322C"/>
    <w:rsid w:val="0077388B"/>
    <w:rsid w:val="00784FD2"/>
    <w:rsid w:val="007935F2"/>
    <w:rsid w:val="00793FA8"/>
    <w:rsid w:val="007A0FD4"/>
    <w:rsid w:val="007A74D4"/>
    <w:rsid w:val="007D393C"/>
    <w:rsid w:val="007D4D94"/>
    <w:rsid w:val="007D68E5"/>
    <w:rsid w:val="007E1921"/>
    <w:rsid w:val="007E6A08"/>
    <w:rsid w:val="007F2C87"/>
    <w:rsid w:val="007F5256"/>
    <w:rsid w:val="00804C0B"/>
    <w:rsid w:val="0080535C"/>
    <w:rsid w:val="0082232D"/>
    <w:rsid w:val="008243B3"/>
    <w:rsid w:val="00830D46"/>
    <w:rsid w:val="00834F24"/>
    <w:rsid w:val="0084176F"/>
    <w:rsid w:val="00841876"/>
    <w:rsid w:val="00842506"/>
    <w:rsid w:val="00844A73"/>
    <w:rsid w:val="00850810"/>
    <w:rsid w:val="00851749"/>
    <w:rsid w:val="0085252B"/>
    <w:rsid w:val="00854034"/>
    <w:rsid w:val="00860F15"/>
    <w:rsid w:val="00861AD7"/>
    <w:rsid w:val="00862D59"/>
    <w:rsid w:val="0086364E"/>
    <w:rsid w:val="0089795F"/>
    <w:rsid w:val="008A657D"/>
    <w:rsid w:val="008B6705"/>
    <w:rsid w:val="008C63FA"/>
    <w:rsid w:val="008D7A8F"/>
    <w:rsid w:val="008E06C5"/>
    <w:rsid w:val="008E4F86"/>
    <w:rsid w:val="008E7FDC"/>
    <w:rsid w:val="008F664E"/>
    <w:rsid w:val="009100D2"/>
    <w:rsid w:val="0091059A"/>
    <w:rsid w:val="00925512"/>
    <w:rsid w:val="00942D5D"/>
    <w:rsid w:val="00951961"/>
    <w:rsid w:val="00961A4E"/>
    <w:rsid w:val="00961B41"/>
    <w:rsid w:val="0096547F"/>
    <w:rsid w:val="0096568B"/>
    <w:rsid w:val="009768AB"/>
    <w:rsid w:val="009812FB"/>
    <w:rsid w:val="00987C28"/>
    <w:rsid w:val="00990A6A"/>
    <w:rsid w:val="009A5DA7"/>
    <w:rsid w:val="009B2832"/>
    <w:rsid w:val="009B66B3"/>
    <w:rsid w:val="009B79CC"/>
    <w:rsid w:val="009B7D27"/>
    <w:rsid w:val="009C3F8D"/>
    <w:rsid w:val="009C79C2"/>
    <w:rsid w:val="009D5A97"/>
    <w:rsid w:val="009E1C3E"/>
    <w:rsid w:val="009E2CE5"/>
    <w:rsid w:val="009E30A0"/>
    <w:rsid w:val="00A050B3"/>
    <w:rsid w:val="00A07EBD"/>
    <w:rsid w:val="00A100A5"/>
    <w:rsid w:val="00A11CA0"/>
    <w:rsid w:val="00A1240F"/>
    <w:rsid w:val="00A136F9"/>
    <w:rsid w:val="00A1772A"/>
    <w:rsid w:val="00A222DD"/>
    <w:rsid w:val="00A32BEC"/>
    <w:rsid w:val="00A37BAE"/>
    <w:rsid w:val="00A63FE9"/>
    <w:rsid w:val="00A734C0"/>
    <w:rsid w:val="00A81399"/>
    <w:rsid w:val="00A855CD"/>
    <w:rsid w:val="00A95355"/>
    <w:rsid w:val="00AA2217"/>
    <w:rsid w:val="00AA2A9F"/>
    <w:rsid w:val="00AB07BA"/>
    <w:rsid w:val="00AB387D"/>
    <w:rsid w:val="00AB73F0"/>
    <w:rsid w:val="00AD32A7"/>
    <w:rsid w:val="00AD4AFD"/>
    <w:rsid w:val="00AF20BA"/>
    <w:rsid w:val="00AF7151"/>
    <w:rsid w:val="00B044FB"/>
    <w:rsid w:val="00B3412D"/>
    <w:rsid w:val="00B37ACB"/>
    <w:rsid w:val="00B40BBC"/>
    <w:rsid w:val="00B4108B"/>
    <w:rsid w:val="00B44D5F"/>
    <w:rsid w:val="00B47F38"/>
    <w:rsid w:val="00B513E0"/>
    <w:rsid w:val="00B670D2"/>
    <w:rsid w:val="00B723D9"/>
    <w:rsid w:val="00B75357"/>
    <w:rsid w:val="00B76B6C"/>
    <w:rsid w:val="00B8292D"/>
    <w:rsid w:val="00B84261"/>
    <w:rsid w:val="00B93DF9"/>
    <w:rsid w:val="00B93FE1"/>
    <w:rsid w:val="00B94069"/>
    <w:rsid w:val="00BA55D3"/>
    <w:rsid w:val="00BB395B"/>
    <w:rsid w:val="00BC5C09"/>
    <w:rsid w:val="00BD6E8E"/>
    <w:rsid w:val="00BE1404"/>
    <w:rsid w:val="00C01139"/>
    <w:rsid w:val="00C1116B"/>
    <w:rsid w:val="00C165C7"/>
    <w:rsid w:val="00C220C1"/>
    <w:rsid w:val="00C266CD"/>
    <w:rsid w:val="00C335F1"/>
    <w:rsid w:val="00C40226"/>
    <w:rsid w:val="00C44D06"/>
    <w:rsid w:val="00C45221"/>
    <w:rsid w:val="00C46513"/>
    <w:rsid w:val="00C52A5F"/>
    <w:rsid w:val="00C558AF"/>
    <w:rsid w:val="00C74943"/>
    <w:rsid w:val="00C75246"/>
    <w:rsid w:val="00C82CD7"/>
    <w:rsid w:val="00C87DA4"/>
    <w:rsid w:val="00C973BD"/>
    <w:rsid w:val="00CA6653"/>
    <w:rsid w:val="00CC0D35"/>
    <w:rsid w:val="00CD483A"/>
    <w:rsid w:val="00CE10B0"/>
    <w:rsid w:val="00CE3395"/>
    <w:rsid w:val="00CE429D"/>
    <w:rsid w:val="00CF0B2C"/>
    <w:rsid w:val="00CF0B5D"/>
    <w:rsid w:val="00CF4817"/>
    <w:rsid w:val="00D07465"/>
    <w:rsid w:val="00D07A2E"/>
    <w:rsid w:val="00D07FD7"/>
    <w:rsid w:val="00D10652"/>
    <w:rsid w:val="00D116D8"/>
    <w:rsid w:val="00D14E25"/>
    <w:rsid w:val="00D158AA"/>
    <w:rsid w:val="00D27047"/>
    <w:rsid w:val="00D30E53"/>
    <w:rsid w:val="00D45543"/>
    <w:rsid w:val="00D477EB"/>
    <w:rsid w:val="00D47946"/>
    <w:rsid w:val="00D54E61"/>
    <w:rsid w:val="00D559FB"/>
    <w:rsid w:val="00D55A50"/>
    <w:rsid w:val="00D6268F"/>
    <w:rsid w:val="00D65384"/>
    <w:rsid w:val="00D7082B"/>
    <w:rsid w:val="00D82893"/>
    <w:rsid w:val="00D852FE"/>
    <w:rsid w:val="00D8686F"/>
    <w:rsid w:val="00D87C9F"/>
    <w:rsid w:val="00D93ACB"/>
    <w:rsid w:val="00DA1FBF"/>
    <w:rsid w:val="00DB142C"/>
    <w:rsid w:val="00DB53EF"/>
    <w:rsid w:val="00DB5CF3"/>
    <w:rsid w:val="00DC0579"/>
    <w:rsid w:val="00DD1F46"/>
    <w:rsid w:val="00DE15BF"/>
    <w:rsid w:val="00DE5312"/>
    <w:rsid w:val="00DF0E8C"/>
    <w:rsid w:val="00DF7DA3"/>
    <w:rsid w:val="00E00620"/>
    <w:rsid w:val="00E07E31"/>
    <w:rsid w:val="00E236A4"/>
    <w:rsid w:val="00E2765A"/>
    <w:rsid w:val="00E300D7"/>
    <w:rsid w:val="00E32126"/>
    <w:rsid w:val="00E359B2"/>
    <w:rsid w:val="00E45596"/>
    <w:rsid w:val="00E457FD"/>
    <w:rsid w:val="00E64591"/>
    <w:rsid w:val="00E70700"/>
    <w:rsid w:val="00E71545"/>
    <w:rsid w:val="00E72E32"/>
    <w:rsid w:val="00E761E7"/>
    <w:rsid w:val="00E767AE"/>
    <w:rsid w:val="00E80AE6"/>
    <w:rsid w:val="00E812B4"/>
    <w:rsid w:val="00E91257"/>
    <w:rsid w:val="00E9413D"/>
    <w:rsid w:val="00EA0E1B"/>
    <w:rsid w:val="00EB2F10"/>
    <w:rsid w:val="00EB3EF1"/>
    <w:rsid w:val="00EC0FBB"/>
    <w:rsid w:val="00EC285E"/>
    <w:rsid w:val="00EE3949"/>
    <w:rsid w:val="00EF3B13"/>
    <w:rsid w:val="00F0770E"/>
    <w:rsid w:val="00F212DB"/>
    <w:rsid w:val="00F2342B"/>
    <w:rsid w:val="00F25F57"/>
    <w:rsid w:val="00F264B6"/>
    <w:rsid w:val="00F26B32"/>
    <w:rsid w:val="00F30A78"/>
    <w:rsid w:val="00F33280"/>
    <w:rsid w:val="00F40E3F"/>
    <w:rsid w:val="00F4165C"/>
    <w:rsid w:val="00F42D49"/>
    <w:rsid w:val="00F477D7"/>
    <w:rsid w:val="00F53556"/>
    <w:rsid w:val="00F8460A"/>
    <w:rsid w:val="00F85CFD"/>
    <w:rsid w:val="00F914BD"/>
    <w:rsid w:val="00F977CA"/>
    <w:rsid w:val="00FB168D"/>
    <w:rsid w:val="00FB6849"/>
    <w:rsid w:val="00FD2447"/>
    <w:rsid w:val="00FD5EF8"/>
    <w:rsid w:val="00FE4B54"/>
    <w:rsid w:val="00FF1659"/>
    <w:rsid w:val="00FF26FC"/>
    <w:rsid w:val="00FF3912"/>
    <w:rsid w:val="00FF5718"/>
    <w:rsid w:val="00FF631E"/>
    <w:rsid w:val="13FA6773"/>
    <w:rsid w:val="1B2B787C"/>
    <w:rsid w:val="1B6646E8"/>
    <w:rsid w:val="1C701981"/>
    <w:rsid w:val="35384BC5"/>
    <w:rsid w:val="4306001A"/>
    <w:rsid w:val="4C937D86"/>
    <w:rsid w:val="6D4425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pPr>
    <w:rPr>
      <w:rFonts w:ascii="Times New Roman" w:hAnsi="Times New Roman" w:eastAsia="仿宋" w:cs="Times New Roman"/>
      <w:kern w:val="2"/>
      <w:sz w:val="32"/>
      <w:szCs w:val="32"/>
      <w:lang w:val="en-US" w:eastAsia="zh-CN" w:bidi="ar-SA"/>
    </w:rPr>
  </w:style>
  <w:style w:type="paragraph" w:styleId="2">
    <w:name w:val="heading 1"/>
    <w:basedOn w:val="1"/>
    <w:next w:val="1"/>
    <w:link w:val="29"/>
    <w:autoRedefine/>
    <w:qFormat/>
    <w:uiPriority w:val="99"/>
    <w:pPr>
      <w:keepNext/>
      <w:keepLines/>
      <w:spacing w:beforeLines="50" w:afterLines="50" w:line="360" w:lineRule="auto"/>
      <w:ind w:firstLine="0" w:firstLineChars="0"/>
      <w:jc w:val="center"/>
      <w:outlineLvl w:val="0"/>
    </w:pPr>
    <w:rPr>
      <w:b/>
      <w:bCs/>
      <w:kern w:val="44"/>
    </w:rPr>
  </w:style>
  <w:style w:type="paragraph" w:styleId="3">
    <w:name w:val="heading 2"/>
    <w:basedOn w:val="1"/>
    <w:next w:val="1"/>
    <w:link w:val="30"/>
    <w:autoRedefine/>
    <w:qFormat/>
    <w:uiPriority w:val="99"/>
    <w:pPr>
      <w:keepNext/>
      <w:keepLines/>
      <w:spacing w:beforeLines="50" w:afterLines="50" w:line="360" w:lineRule="auto"/>
      <w:ind w:firstLine="0" w:firstLineChars="0"/>
      <w:jc w:val="center"/>
      <w:outlineLvl w:val="1"/>
    </w:pPr>
    <w:rPr>
      <w:rFonts w:ascii="Arial" w:hAnsi="Arial" w:cs="Arial"/>
      <w:b/>
      <w:bCs/>
    </w:rPr>
  </w:style>
  <w:style w:type="paragraph" w:styleId="4">
    <w:name w:val="heading 3"/>
    <w:basedOn w:val="1"/>
    <w:next w:val="1"/>
    <w:link w:val="31"/>
    <w:autoRedefine/>
    <w:qFormat/>
    <w:uiPriority w:val="99"/>
    <w:pPr>
      <w:keepNext/>
      <w:keepLines/>
      <w:spacing w:line="360" w:lineRule="auto"/>
      <w:ind w:firstLine="200"/>
      <w:outlineLvl w:val="2"/>
    </w:pPr>
    <w:rPr>
      <w:b/>
      <w:bCs/>
    </w:rPr>
  </w:style>
  <w:style w:type="paragraph" w:styleId="5">
    <w:name w:val="heading 4"/>
    <w:basedOn w:val="1"/>
    <w:next w:val="1"/>
    <w:link w:val="32"/>
    <w:autoRedefine/>
    <w:qFormat/>
    <w:uiPriority w:val="99"/>
    <w:pPr>
      <w:keepNext/>
      <w:keepLines/>
      <w:spacing w:line="240" w:lineRule="atLeast"/>
      <w:ind w:firstLine="200"/>
      <w:outlineLvl w:val="3"/>
    </w:pPr>
    <w:rPr>
      <w:rFonts w:ascii="Arial" w:hAnsi="Arial" w:cs="Arial"/>
      <w:b/>
      <w:b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qFormat/>
    <w:uiPriority w:val="99"/>
    <w:pPr>
      <w:ind w:left="1920"/>
    </w:pPr>
    <w:rPr>
      <w:rFonts w:ascii="Calibri" w:hAnsi="Calibri" w:cs="Calibri"/>
      <w:sz w:val="18"/>
      <w:szCs w:val="18"/>
    </w:rPr>
  </w:style>
  <w:style w:type="paragraph" w:styleId="7">
    <w:name w:val="Normal Indent"/>
    <w:basedOn w:val="1"/>
    <w:link w:val="41"/>
    <w:autoRedefine/>
    <w:qFormat/>
    <w:uiPriority w:val="99"/>
    <w:pPr>
      <w:adjustRightInd w:val="0"/>
      <w:snapToGrid w:val="0"/>
      <w:spacing w:afterLines="50" w:line="400" w:lineRule="exact"/>
      <w:ind w:firstLine="420"/>
    </w:pPr>
    <w:rPr>
      <w:rFonts w:ascii="宋体" w:hAnsi="宋体" w:eastAsia="宋体" w:cs="宋体"/>
      <w:color w:val="993300"/>
      <w:sz w:val="21"/>
      <w:szCs w:val="21"/>
    </w:rPr>
  </w:style>
  <w:style w:type="paragraph" w:styleId="8">
    <w:name w:val="Document Map"/>
    <w:basedOn w:val="1"/>
    <w:link w:val="33"/>
    <w:autoRedefine/>
    <w:semiHidden/>
    <w:qFormat/>
    <w:uiPriority w:val="99"/>
    <w:pPr>
      <w:shd w:val="clear" w:color="auto" w:fill="000080"/>
    </w:pPr>
  </w:style>
  <w:style w:type="paragraph" w:styleId="9">
    <w:name w:val="annotation text"/>
    <w:basedOn w:val="1"/>
    <w:link w:val="34"/>
    <w:autoRedefine/>
    <w:semiHidden/>
    <w:qFormat/>
    <w:uiPriority w:val="99"/>
    <w:rPr>
      <w:rFonts w:ascii="Calibri" w:hAnsi="Calibri" w:eastAsia="宋体" w:cs="Calibri"/>
      <w:sz w:val="21"/>
      <w:szCs w:val="21"/>
    </w:rPr>
  </w:style>
  <w:style w:type="paragraph" w:styleId="10">
    <w:name w:val="toc 5"/>
    <w:basedOn w:val="1"/>
    <w:next w:val="1"/>
    <w:autoRedefine/>
    <w:semiHidden/>
    <w:qFormat/>
    <w:uiPriority w:val="99"/>
    <w:pPr>
      <w:ind w:left="1280"/>
    </w:pPr>
    <w:rPr>
      <w:rFonts w:ascii="Calibri" w:hAnsi="Calibri" w:cs="Calibri"/>
      <w:sz w:val="18"/>
      <w:szCs w:val="18"/>
    </w:rPr>
  </w:style>
  <w:style w:type="paragraph" w:styleId="11">
    <w:name w:val="toc 3"/>
    <w:basedOn w:val="1"/>
    <w:next w:val="1"/>
    <w:autoRedefine/>
    <w:semiHidden/>
    <w:qFormat/>
    <w:uiPriority w:val="99"/>
    <w:pPr>
      <w:ind w:left="640"/>
    </w:pPr>
    <w:rPr>
      <w:rFonts w:ascii="Calibri" w:hAnsi="Calibri" w:cs="Calibri"/>
      <w:i/>
      <w:iCs/>
      <w:sz w:val="20"/>
      <w:szCs w:val="20"/>
    </w:rPr>
  </w:style>
  <w:style w:type="paragraph" w:styleId="12">
    <w:name w:val="Plain Text"/>
    <w:basedOn w:val="1"/>
    <w:link w:val="35"/>
    <w:autoRedefine/>
    <w:qFormat/>
    <w:uiPriority w:val="99"/>
    <w:rPr>
      <w:rFonts w:ascii="宋体" w:hAnsi="Courier New" w:eastAsia="宋体" w:cs="宋体"/>
      <w:sz w:val="21"/>
      <w:szCs w:val="21"/>
    </w:rPr>
  </w:style>
  <w:style w:type="paragraph" w:styleId="13">
    <w:name w:val="toc 8"/>
    <w:basedOn w:val="1"/>
    <w:next w:val="1"/>
    <w:autoRedefine/>
    <w:semiHidden/>
    <w:qFormat/>
    <w:uiPriority w:val="99"/>
    <w:pPr>
      <w:ind w:left="2240"/>
    </w:pPr>
    <w:rPr>
      <w:rFonts w:ascii="Calibri" w:hAnsi="Calibri" w:cs="Calibri"/>
      <w:sz w:val="18"/>
      <w:szCs w:val="18"/>
    </w:rPr>
  </w:style>
  <w:style w:type="paragraph" w:styleId="14">
    <w:name w:val="Date"/>
    <w:basedOn w:val="1"/>
    <w:next w:val="1"/>
    <w:link w:val="36"/>
    <w:autoRedefine/>
    <w:qFormat/>
    <w:uiPriority w:val="99"/>
    <w:pPr>
      <w:ind w:left="100" w:leftChars="2500"/>
    </w:pPr>
  </w:style>
  <w:style w:type="paragraph" w:styleId="15">
    <w:name w:val="Balloon Text"/>
    <w:basedOn w:val="1"/>
    <w:link w:val="37"/>
    <w:autoRedefine/>
    <w:semiHidden/>
    <w:qFormat/>
    <w:uiPriority w:val="99"/>
    <w:rPr>
      <w:sz w:val="18"/>
      <w:szCs w:val="18"/>
    </w:rPr>
  </w:style>
  <w:style w:type="paragraph" w:styleId="16">
    <w:name w:val="footer"/>
    <w:basedOn w:val="1"/>
    <w:link w:val="38"/>
    <w:autoRedefine/>
    <w:qFormat/>
    <w:uiPriority w:val="99"/>
    <w:pPr>
      <w:tabs>
        <w:tab w:val="center" w:pos="4153"/>
        <w:tab w:val="right" w:pos="8306"/>
      </w:tabs>
      <w:snapToGrid w:val="0"/>
    </w:pPr>
    <w:rPr>
      <w:sz w:val="18"/>
      <w:szCs w:val="18"/>
    </w:rPr>
  </w:style>
  <w:style w:type="paragraph" w:styleId="17">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pPr>
    <w:rPr>
      <w:rFonts w:ascii="Calibri" w:hAnsi="Calibri" w:cs="Calibri"/>
      <w:b/>
      <w:bCs/>
      <w:caps/>
      <w:sz w:val="20"/>
      <w:szCs w:val="20"/>
    </w:rPr>
  </w:style>
  <w:style w:type="paragraph" w:styleId="19">
    <w:name w:val="toc 4"/>
    <w:basedOn w:val="1"/>
    <w:next w:val="1"/>
    <w:autoRedefine/>
    <w:semiHidden/>
    <w:qFormat/>
    <w:uiPriority w:val="99"/>
    <w:pPr>
      <w:ind w:left="960"/>
    </w:pPr>
    <w:rPr>
      <w:rFonts w:ascii="Calibri" w:hAnsi="Calibri" w:cs="Calibri"/>
      <w:sz w:val="18"/>
      <w:szCs w:val="18"/>
    </w:rPr>
  </w:style>
  <w:style w:type="paragraph" w:styleId="20">
    <w:name w:val="toc 6"/>
    <w:basedOn w:val="1"/>
    <w:next w:val="1"/>
    <w:autoRedefine/>
    <w:semiHidden/>
    <w:qFormat/>
    <w:uiPriority w:val="99"/>
    <w:pPr>
      <w:ind w:left="1600"/>
    </w:pPr>
    <w:rPr>
      <w:rFonts w:ascii="Calibri" w:hAnsi="Calibri" w:cs="Calibri"/>
      <w:sz w:val="18"/>
      <w:szCs w:val="18"/>
    </w:rPr>
  </w:style>
  <w:style w:type="paragraph" w:styleId="21">
    <w:name w:val="toc 2"/>
    <w:basedOn w:val="1"/>
    <w:next w:val="1"/>
    <w:autoRedefine/>
    <w:qFormat/>
    <w:uiPriority w:val="39"/>
    <w:pPr>
      <w:ind w:left="320"/>
    </w:pPr>
    <w:rPr>
      <w:rFonts w:ascii="Calibri" w:hAnsi="Calibri" w:cs="Calibri"/>
      <w:smallCaps/>
      <w:sz w:val="20"/>
      <w:szCs w:val="20"/>
    </w:rPr>
  </w:style>
  <w:style w:type="paragraph" w:styleId="22">
    <w:name w:val="toc 9"/>
    <w:basedOn w:val="1"/>
    <w:next w:val="1"/>
    <w:autoRedefine/>
    <w:semiHidden/>
    <w:qFormat/>
    <w:uiPriority w:val="99"/>
    <w:pPr>
      <w:ind w:left="2560"/>
    </w:pPr>
    <w:rPr>
      <w:rFonts w:ascii="Calibri" w:hAnsi="Calibri" w:cs="Calibri"/>
      <w:sz w:val="18"/>
      <w:szCs w:val="18"/>
    </w:rPr>
  </w:style>
  <w:style w:type="paragraph" w:styleId="23">
    <w:name w:val="annotation subject"/>
    <w:basedOn w:val="9"/>
    <w:next w:val="9"/>
    <w:link w:val="40"/>
    <w:autoRedefine/>
    <w:semiHidden/>
    <w:qFormat/>
    <w:uiPriority w:val="99"/>
    <w:rPr>
      <w:b/>
      <w:bCs/>
    </w:rPr>
  </w:style>
  <w:style w:type="character" w:styleId="26">
    <w:name w:val="page number"/>
    <w:basedOn w:val="25"/>
    <w:autoRedefine/>
    <w:qFormat/>
    <w:uiPriority w:val="99"/>
  </w:style>
  <w:style w:type="character" w:styleId="27">
    <w:name w:val="Hyperlink"/>
    <w:autoRedefine/>
    <w:qFormat/>
    <w:uiPriority w:val="99"/>
    <w:rPr>
      <w:color w:val="0000FF"/>
      <w:u w:val="single"/>
    </w:rPr>
  </w:style>
  <w:style w:type="character" w:styleId="28">
    <w:name w:val="annotation reference"/>
    <w:autoRedefine/>
    <w:semiHidden/>
    <w:qFormat/>
    <w:uiPriority w:val="99"/>
    <w:rPr>
      <w:sz w:val="21"/>
      <w:szCs w:val="21"/>
    </w:rPr>
  </w:style>
  <w:style w:type="character" w:customStyle="1" w:styleId="29">
    <w:name w:val="标题 1 字符"/>
    <w:link w:val="2"/>
    <w:autoRedefine/>
    <w:qFormat/>
    <w:locked/>
    <w:uiPriority w:val="99"/>
    <w:rPr>
      <w:rFonts w:eastAsia="仿宋"/>
      <w:b/>
      <w:bCs/>
      <w:kern w:val="44"/>
      <w:sz w:val="44"/>
      <w:szCs w:val="44"/>
    </w:rPr>
  </w:style>
  <w:style w:type="character" w:customStyle="1" w:styleId="30">
    <w:name w:val="标题 2 字符"/>
    <w:link w:val="3"/>
    <w:autoRedefine/>
    <w:qFormat/>
    <w:locked/>
    <w:uiPriority w:val="99"/>
    <w:rPr>
      <w:rFonts w:ascii="Arial" w:hAnsi="Arial" w:eastAsia="仿宋" w:cs="Arial"/>
      <w:b/>
      <w:bCs/>
      <w:kern w:val="2"/>
      <w:sz w:val="32"/>
      <w:szCs w:val="32"/>
    </w:rPr>
  </w:style>
  <w:style w:type="character" w:customStyle="1" w:styleId="31">
    <w:name w:val="标题 3 字符"/>
    <w:link w:val="4"/>
    <w:autoRedefine/>
    <w:qFormat/>
    <w:locked/>
    <w:uiPriority w:val="99"/>
    <w:rPr>
      <w:rFonts w:eastAsia="仿宋"/>
      <w:b/>
      <w:bCs/>
      <w:kern w:val="2"/>
      <w:sz w:val="32"/>
      <w:szCs w:val="32"/>
    </w:rPr>
  </w:style>
  <w:style w:type="character" w:customStyle="1" w:styleId="32">
    <w:name w:val="标题 4 字符"/>
    <w:link w:val="5"/>
    <w:autoRedefine/>
    <w:qFormat/>
    <w:locked/>
    <w:uiPriority w:val="99"/>
    <w:rPr>
      <w:rFonts w:ascii="Arial" w:hAnsi="Arial" w:eastAsia="仿宋" w:cs="Arial"/>
      <w:b/>
      <w:bCs/>
      <w:kern w:val="2"/>
      <w:sz w:val="28"/>
      <w:szCs w:val="28"/>
    </w:rPr>
  </w:style>
  <w:style w:type="character" w:customStyle="1" w:styleId="33">
    <w:name w:val="文档结构图 字符"/>
    <w:link w:val="8"/>
    <w:autoRedefine/>
    <w:qFormat/>
    <w:locked/>
    <w:uiPriority w:val="99"/>
    <w:rPr>
      <w:rFonts w:ascii="Times New Roman" w:hAnsi="Times New Roman" w:eastAsia="仿宋" w:cs="Times New Roman"/>
      <w:sz w:val="24"/>
      <w:szCs w:val="24"/>
      <w:shd w:val="clear" w:color="auto" w:fill="000080"/>
    </w:rPr>
  </w:style>
  <w:style w:type="character" w:customStyle="1" w:styleId="34">
    <w:name w:val="批注文字 字符"/>
    <w:link w:val="9"/>
    <w:autoRedefine/>
    <w:qFormat/>
    <w:locked/>
    <w:uiPriority w:val="99"/>
    <w:rPr>
      <w:rFonts w:eastAsia="宋体"/>
      <w:sz w:val="24"/>
      <w:szCs w:val="24"/>
    </w:rPr>
  </w:style>
  <w:style w:type="character" w:customStyle="1" w:styleId="35">
    <w:name w:val="纯文本 字符"/>
    <w:link w:val="12"/>
    <w:autoRedefine/>
    <w:qFormat/>
    <w:locked/>
    <w:uiPriority w:val="99"/>
    <w:rPr>
      <w:rFonts w:ascii="宋体" w:hAnsi="Courier New" w:eastAsia="宋体" w:cs="宋体"/>
    </w:rPr>
  </w:style>
  <w:style w:type="character" w:customStyle="1" w:styleId="36">
    <w:name w:val="日期 字符"/>
    <w:link w:val="14"/>
    <w:autoRedefine/>
    <w:qFormat/>
    <w:locked/>
    <w:uiPriority w:val="99"/>
    <w:rPr>
      <w:rFonts w:ascii="Times New Roman" w:hAnsi="Times New Roman" w:eastAsia="仿宋" w:cs="Times New Roman"/>
      <w:sz w:val="24"/>
      <w:szCs w:val="24"/>
    </w:rPr>
  </w:style>
  <w:style w:type="character" w:customStyle="1" w:styleId="37">
    <w:name w:val="批注框文本 字符"/>
    <w:link w:val="15"/>
    <w:autoRedefine/>
    <w:qFormat/>
    <w:locked/>
    <w:uiPriority w:val="99"/>
    <w:rPr>
      <w:rFonts w:ascii="Times New Roman" w:hAnsi="Times New Roman" w:eastAsia="仿宋" w:cs="Times New Roman"/>
      <w:sz w:val="18"/>
      <w:szCs w:val="18"/>
    </w:rPr>
  </w:style>
  <w:style w:type="character" w:customStyle="1" w:styleId="38">
    <w:name w:val="页脚 字符"/>
    <w:link w:val="16"/>
    <w:autoRedefine/>
    <w:qFormat/>
    <w:locked/>
    <w:uiPriority w:val="99"/>
    <w:rPr>
      <w:sz w:val="18"/>
      <w:szCs w:val="18"/>
    </w:rPr>
  </w:style>
  <w:style w:type="character" w:customStyle="1" w:styleId="39">
    <w:name w:val="页眉 字符"/>
    <w:link w:val="17"/>
    <w:autoRedefine/>
    <w:qFormat/>
    <w:locked/>
    <w:uiPriority w:val="99"/>
    <w:rPr>
      <w:sz w:val="18"/>
      <w:szCs w:val="18"/>
    </w:rPr>
  </w:style>
  <w:style w:type="character" w:customStyle="1" w:styleId="40">
    <w:name w:val="批注主题 字符"/>
    <w:link w:val="23"/>
    <w:autoRedefine/>
    <w:qFormat/>
    <w:locked/>
    <w:uiPriority w:val="99"/>
    <w:rPr>
      <w:rFonts w:ascii="Times New Roman" w:hAnsi="Times New Roman" w:eastAsia="宋体" w:cs="Times New Roman"/>
      <w:b/>
      <w:bCs/>
      <w:sz w:val="24"/>
      <w:szCs w:val="24"/>
    </w:rPr>
  </w:style>
  <w:style w:type="character" w:customStyle="1" w:styleId="41">
    <w:name w:val="正文缩进 字符"/>
    <w:link w:val="7"/>
    <w:autoRedefine/>
    <w:qFormat/>
    <w:locked/>
    <w:uiPriority w:val="99"/>
    <w:rPr>
      <w:rFonts w:ascii="宋体" w:hAnsi="宋体" w:eastAsia="宋体" w:cs="宋体"/>
      <w:color w:val="993300"/>
      <w:sz w:val="21"/>
      <w:szCs w:val="21"/>
    </w:rPr>
  </w:style>
  <w:style w:type="character" w:customStyle="1" w:styleId="42">
    <w:name w:val="表标题 Char"/>
    <w:link w:val="43"/>
    <w:autoRedefine/>
    <w:qFormat/>
    <w:locked/>
    <w:uiPriority w:val="99"/>
    <w:rPr>
      <w:rFonts w:eastAsia="宋体"/>
      <w:b/>
      <w:bCs/>
      <w:sz w:val="21"/>
      <w:szCs w:val="21"/>
    </w:rPr>
  </w:style>
  <w:style w:type="paragraph" w:customStyle="1" w:styleId="43">
    <w:name w:val="表标题"/>
    <w:basedOn w:val="1"/>
    <w:link w:val="42"/>
    <w:autoRedefine/>
    <w:qFormat/>
    <w:uiPriority w:val="99"/>
    <w:pPr>
      <w:spacing w:line="360" w:lineRule="auto"/>
      <w:jc w:val="center"/>
    </w:pPr>
    <w:rPr>
      <w:rFonts w:ascii="Calibri" w:hAnsi="Calibri" w:eastAsia="宋体" w:cs="Calibri"/>
      <w:b/>
      <w:bCs/>
      <w:sz w:val="21"/>
      <w:szCs w:val="21"/>
    </w:rPr>
  </w:style>
  <w:style w:type="character" w:customStyle="1" w:styleId="44">
    <w:name w:val="丰宁 正文 Char"/>
    <w:link w:val="45"/>
    <w:autoRedefine/>
    <w:qFormat/>
    <w:locked/>
    <w:uiPriority w:val="99"/>
    <w:rPr>
      <w:rFonts w:ascii="宋体" w:hAnsi="宋体" w:eastAsia="宋体" w:cs="宋体"/>
      <w:sz w:val="28"/>
      <w:szCs w:val="28"/>
    </w:rPr>
  </w:style>
  <w:style w:type="paragraph" w:customStyle="1" w:styleId="45">
    <w:name w:val="丰宁 正文"/>
    <w:basedOn w:val="1"/>
    <w:link w:val="44"/>
    <w:autoRedefine/>
    <w:qFormat/>
    <w:uiPriority w:val="99"/>
    <w:pPr>
      <w:spacing w:line="360" w:lineRule="auto"/>
      <w:ind w:firstLine="200"/>
    </w:pPr>
    <w:rPr>
      <w:rFonts w:ascii="宋体" w:hAnsi="宋体" w:eastAsia="宋体" w:cs="宋体"/>
      <w:sz w:val="28"/>
      <w:szCs w:val="28"/>
    </w:rPr>
  </w:style>
  <w:style w:type="character" w:customStyle="1" w:styleId="46">
    <w:name w:val="正文小四 Char"/>
    <w:link w:val="47"/>
    <w:autoRedefine/>
    <w:qFormat/>
    <w:locked/>
    <w:uiPriority w:val="99"/>
    <w:rPr>
      <w:rFonts w:ascii="Calibri" w:hAnsi="Calibri" w:cs="Calibri"/>
      <w:kern w:val="2"/>
      <w:sz w:val="24"/>
      <w:szCs w:val="24"/>
      <w:lang w:val="en-US" w:eastAsia="zh-CN"/>
    </w:rPr>
  </w:style>
  <w:style w:type="paragraph" w:customStyle="1" w:styleId="47">
    <w:name w:val="正文小四"/>
    <w:link w:val="46"/>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character" w:customStyle="1" w:styleId="48">
    <w:name w:val="表格文字 Char"/>
    <w:link w:val="49"/>
    <w:autoRedefine/>
    <w:qFormat/>
    <w:locked/>
    <w:uiPriority w:val="99"/>
    <w:rPr>
      <w:rFonts w:eastAsia="宋体"/>
      <w:sz w:val="21"/>
      <w:szCs w:val="21"/>
    </w:rPr>
  </w:style>
  <w:style w:type="paragraph" w:customStyle="1" w:styleId="49">
    <w:name w:val="表格文字"/>
    <w:basedOn w:val="1"/>
    <w:link w:val="48"/>
    <w:autoRedefine/>
    <w:qFormat/>
    <w:uiPriority w:val="99"/>
    <w:pPr>
      <w:jc w:val="center"/>
    </w:pPr>
    <w:rPr>
      <w:rFonts w:ascii="Calibri" w:hAnsi="Calibri" w:eastAsia="宋体" w:cs="Calibri"/>
      <w:sz w:val="21"/>
      <w:szCs w:val="21"/>
    </w:rPr>
  </w:style>
  <w:style w:type="character" w:customStyle="1" w:styleId="50">
    <w:name w:val="批注文字 Char1"/>
    <w:autoRedefine/>
    <w:semiHidden/>
    <w:qFormat/>
    <w:uiPriority w:val="99"/>
    <w:rPr>
      <w:rFonts w:ascii="Times New Roman" w:hAnsi="Times New Roman" w:eastAsia="仿宋" w:cs="Times New Roman"/>
      <w:sz w:val="24"/>
      <w:szCs w:val="24"/>
    </w:rPr>
  </w:style>
  <w:style w:type="character" w:customStyle="1" w:styleId="51">
    <w:name w:val="纯文本 Char1"/>
    <w:autoRedefine/>
    <w:semiHidden/>
    <w:qFormat/>
    <w:uiPriority w:val="99"/>
    <w:rPr>
      <w:rFonts w:ascii="宋体" w:hAnsi="Courier New" w:eastAsia="宋体" w:cs="宋体"/>
      <w:sz w:val="21"/>
      <w:szCs w:val="21"/>
    </w:rPr>
  </w:style>
  <w:style w:type="paragraph" w:customStyle="1" w:styleId="52">
    <w:name w:val="Char Char Char Char"/>
    <w:basedOn w:val="1"/>
    <w:autoRedefine/>
    <w:qFormat/>
    <w:uiPriority w:val="99"/>
    <w:pPr>
      <w:snapToGrid w:val="0"/>
      <w:spacing w:line="360" w:lineRule="auto"/>
      <w:ind w:firstLine="200"/>
    </w:pPr>
  </w:style>
  <w:style w:type="paragraph" w:customStyle="1" w:styleId="53">
    <w:name w:val="unnamed1"/>
    <w:basedOn w:val="1"/>
    <w:autoRedefine/>
    <w:qFormat/>
    <w:uiPriority w:val="99"/>
    <w:pPr>
      <w:widowControl/>
      <w:spacing w:before="100" w:beforeAutospacing="1" w:after="100" w:afterAutospacing="1" w:line="375" w:lineRule="atLeast"/>
    </w:pPr>
    <w:rPr>
      <w:rFonts w:ascii="宋体" w:hAnsi="宋体" w:cs="宋体"/>
      <w:color w:val="000000"/>
      <w:kern w:val="0"/>
      <w:sz w:val="24"/>
      <w:szCs w:val="24"/>
    </w:rPr>
  </w:style>
  <w:style w:type="paragraph" w:customStyle="1" w:styleId="54">
    <w:name w:val="编号样式正文"/>
    <w:basedOn w:val="1"/>
    <w:autoRedefine/>
    <w:qFormat/>
    <w:uiPriority w:val="99"/>
    <w:pPr>
      <w:tabs>
        <w:tab w:val="left" w:pos="435"/>
        <w:tab w:val="left" w:pos="720"/>
        <w:tab w:val="left" w:pos="900"/>
      </w:tabs>
      <w:adjustRightInd w:val="0"/>
      <w:snapToGrid w:val="0"/>
      <w:spacing w:line="360" w:lineRule="auto"/>
      <w:ind w:left="435" w:hanging="435"/>
    </w:pPr>
    <w:rPr>
      <w:kern w:val="24"/>
      <w:sz w:val="24"/>
      <w:szCs w:val="24"/>
    </w:rPr>
  </w:style>
  <w:style w:type="paragraph" w:customStyle="1" w:styleId="55">
    <w:name w:val="Char"/>
    <w:basedOn w:val="8"/>
    <w:next w:val="1"/>
    <w:autoRedefine/>
    <w:qFormat/>
    <w:uiPriority w:val="99"/>
    <w:pPr>
      <w:widowControl/>
    </w:pPr>
  </w:style>
  <w:style w:type="paragraph" w:styleId="56">
    <w:name w:val="List Paragraph"/>
    <w:basedOn w:val="1"/>
    <w:autoRedefine/>
    <w:qFormat/>
    <w:uiPriority w:val="99"/>
    <w:pPr>
      <w:ind w:firstLine="420"/>
    </w:pPr>
  </w:style>
  <w:style w:type="paragraph" w:customStyle="1" w:styleId="57">
    <w:name w:val="样式 首行缩进:  2 字符"/>
    <w:basedOn w:val="1"/>
    <w:autoRedefine/>
    <w:qFormat/>
    <w:uiPriority w:val="99"/>
    <w:pPr>
      <w:spacing w:afterLines="50" w:line="360" w:lineRule="auto"/>
      <w:ind w:firstLine="562"/>
      <w:jc w:val="both"/>
    </w:pPr>
    <w:rPr>
      <w:rFonts w:ascii="仿宋_GB2312" w:hAnsi="Calibri" w:eastAsia="仿宋_GB2312" w:cs="仿宋_GB2312"/>
      <w:sz w:val="30"/>
      <w:szCs w:val="30"/>
    </w:rPr>
  </w:style>
  <w:style w:type="paragraph" w:customStyle="1" w:styleId="58">
    <w:name w:val="列出段落1"/>
    <w:basedOn w:val="1"/>
    <w:autoRedefine/>
    <w:qFormat/>
    <w:uiPriority w:val="99"/>
    <w:pPr>
      <w:spacing w:afterLines="50" w:line="360" w:lineRule="auto"/>
      <w:ind w:firstLine="420"/>
      <w:jc w:val="both"/>
    </w:pPr>
    <w:rPr>
      <w:rFonts w:ascii="仿宋_GB2312" w:hAnsi="Calibri" w:eastAsia="仿宋_GB2312" w:cs="仿宋_GB2312"/>
      <w:sz w:val="30"/>
      <w:szCs w:val="30"/>
    </w:rPr>
  </w:style>
  <w:style w:type="paragraph" w:customStyle="1" w:styleId="59">
    <w:name w:val="样式 首行缩进:  2 字符1"/>
    <w:basedOn w:val="1"/>
    <w:autoRedefine/>
    <w:qFormat/>
    <w:uiPriority w:val="99"/>
    <w:pPr>
      <w:spacing w:afterLines="50" w:line="360" w:lineRule="auto"/>
      <w:ind w:firstLine="560"/>
      <w:jc w:val="both"/>
    </w:pPr>
    <w:rPr>
      <w:rFonts w:ascii="仿宋_GB2312" w:hAnsi="仿宋_GB2312" w:eastAsia="仿宋_GB2312" w:cs="仿宋_GB2312"/>
      <w:sz w:val="30"/>
      <w:szCs w:val="30"/>
    </w:rPr>
  </w:style>
  <w:style w:type="paragraph" w:customStyle="1" w:styleId="60">
    <w:name w:val="样式 首行缩进:  2 字符 行距: 1.5 倍行距"/>
    <w:basedOn w:val="1"/>
    <w:autoRedefine/>
    <w:qFormat/>
    <w:uiPriority w:val="99"/>
    <w:pPr>
      <w:spacing w:afterLines="50" w:line="360" w:lineRule="auto"/>
      <w:ind w:firstLine="562"/>
      <w:jc w:val="both"/>
    </w:pPr>
    <w:rPr>
      <w:rFonts w:ascii="仿宋_GB2312" w:hAnsi="Calibri" w:eastAsia="仿宋_GB2312" w:cs="仿宋_GB2312"/>
      <w:sz w:val="30"/>
      <w:szCs w:val="30"/>
    </w:rPr>
  </w:style>
  <w:style w:type="paragraph" w:customStyle="1" w:styleId="61">
    <w:name w:val="样式 五号 居中"/>
    <w:basedOn w:val="1"/>
    <w:autoRedefine/>
    <w:qFormat/>
    <w:uiPriority w:val="99"/>
    <w:pPr>
      <w:spacing w:afterLines="50" w:line="360" w:lineRule="auto"/>
      <w:ind w:firstLine="0" w:firstLineChars="0"/>
      <w:jc w:val="center"/>
    </w:pPr>
    <w:rPr>
      <w:rFonts w:ascii="仿宋_GB2312" w:hAnsi="Calibri" w:eastAsia="仿宋_GB2312" w:cs="仿宋_GB2312"/>
      <w:sz w:val="21"/>
      <w:szCs w:val="21"/>
    </w:rPr>
  </w:style>
  <w:style w:type="paragraph" w:customStyle="1" w:styleId="62">
    <w:name w:val="B图名"/>
    <w:autoRedefine/>
    <w:qFormat/>
    <w:uiPriority w:val="99"/>
    <w:pPr>
      <w:spacing w:before="187" w:after="187"/>
      <w:jc w:val="center"/>
    </w:pPr>
    <w:rPr>
      <w:rFonts w:ascii="Times New Roman" w:hAnsi="Times New Roman" w:eastAsia="黑体" w:cs="Times New Roman"/>
      <w:kern w:val="2"/>
      <w:sz w:val="21"/>
      <w:szCs w:val="21"/>
      <w:lang w:val="en-US" w:eastAsia="zh-CN" w:bidi="ar-SA"/>
    </w:rPr>
  </w:style>
  <w:style w:type="character" w:customStyle="1" w:styleId="63">
    <w:name w:val="标题 1 Char1"/>
    <w:autoRedefine/>
    <w:qFormat/>
    <w:locked/>
    <w:uiPriority w:val="99"/>
    <w:rPr>
      <w:rFonts w:ascii="仿宋_GB2312" w:eastAsia="仿宋_GB2312" w:cs="仿宋_GB2312"/>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cdgt</Company>
  <Pages>34</Pages>
  <Words>2380</Words>
  <Characters>13568</Characters>
  <Lines>113</Lines>
  <Paragraphs>31</Paragraphs>
  <TotalTime>1</TotalTime>
  <ScaleCrop>false</ScaleCrop>
  <LinksUpToDate>false</LinksUpToDate>
  <CharactersWithSpaces>15917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2016-11-17T00:51:00Z</dcterms:created>
  <dc:creator>niuguangwei</dc:creator>
  <cp:lastModifiedBy>ALL OR NOTHING</cp:lastModifiedBy>
  <cp:lastPrinted>2020-06-01T06:15:00Z</cp:lastPrinted>
  <dcterms:modified xsi:type="dcterms:W3CDTF">2024-07-05T02:26:25Z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BB9D07715DE34CED8575F54809215B7B_12</vt:lpwstr>
  </property>
</Properties>
</file>