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bCs/>
          <w:color w:val="auto"/>
          <w:sz w:val="44"/>
          <w:szCs w:val="44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营城管字[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]</w:t>
      </w:r>
      <w:r>
        <w:rPr>
          <w:rFonts w:hint="eastAsia" w:ascii="仿宋_GB2312" w:hAnsi="仿宋" w:cs="仿宋"/>
          <w:color w:val="auto"/>
          <w:sz w:val="32"/>
          <w:szCs w:val="32"/>
          <w:lang w:val="en-US" w:eastAsia="zh-CN"/>
        </w:rPr>
        <w:t>63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号</w:t>
      </w:r>
    </w:p>
    <w:p>
      <w:pPr>
        <w:tabs>
          <w:tab w:val="center" w:pos="4213"/>
          <w:tab w:val="left" w:pos="6464"/>
        </w:tabs>
        <w:jc w:val="both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</w:p>
    <w:p>
      <w:pPr>
        <w:tabs>
          <w:tab w:val="center" w:pos="4213"/>
          <w:tab w:val="left" w:pos="6464"/>
        </w:tabs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鹰手营子矿区城市管理综合行政执法局</w:t>
      </w:r>
    </w:p>
    <w:p>
      <w:pPr>
        <w:tabs>
          <w:tab w:val="center" w:pos="4213"/>
          <w:tab w:val="left" w:pos="6464"/>
        </w:tabs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关于印发2024年城管局“双随机、一公开”</w:t>
      </w:r>
    </w:p>
    <w:p>
      <w:pPr>
        <w:tabs>
          <w:tab w:val="center" w:pos="4213"/>
          <w:tab w:val="left" w:pos="6464"/>
        </w:tabs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监管工作实施方案的通知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</w:pP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55" w:lineRule="atLeast"/>
        <w:ind w:left="0" w:right="0" w:firstLine="0"/>
        <w:jc w:val="both"/>
        <w:textAlignment w:val="baseline"/>
        <w:rPr>
          <w:rFonts w:hint="eastAsia" w:ascii="仿宋_GB2312" w:hAnsi="仿宋_GB2312" w:cs="仿宋_GB2312"/>
          <w:color w:val="auto"/>
          <w:szCs w:val="32"/>
        </w:rPr>
      </w:pPr>
      <w:bookmarkStart w:id="0" w:name="ZHUSONG"/>
      <w:r>
        <w:rPr>
          <w:rFonts w:hint="eastAsia" w:ascii="仿宋_GB2312" w:hAnsi="仿宋_GB2312" w:cs="仿宋_GB2312"/>
          <w:color w:val="auto"/>
          <w:szCs w:val="32"/>
        </w:rPr>
        <w:t xml:space="preserve"> </w:t>
      </w:r>
      <w:bookmarkEnd w:id="0"/>
      <w:r>
        <w:rPr>
          <w:rFonts w:hint="eastAsia" w:ascii="仿宋_GB2312" w:hAnsi="微软雅黑" w:eastAsia="仿宋_GB2312" w:cs="仿宋_GB2312"/>
          <w:b w:val="0"/>
          <w:i w:val="0"/>
          <w:iCs w:val="0"/>
          <w:caps w:val="0"/>
          <w:color w:val="auto"/>
          <w:spacing w:val="0"/>
          <w:w w:val="100"/>
          <w:sz w:val="31"/>
          <w:szCs w:val="31"/>
          <w:lang w:eastAsia="zh-CN"/>
        </w:rPr>
        <w:t>局机关各股室</w:t>
      </w:r>
      <w:r>
        <w:rPr>
          <w:rFonts w:ascii="仿宋_GB2312" w:hAnsi="微软雅黑" w:eastAsia="仿宋_GB2312" w:cs="仿宋_GB2312"/>
          <w:b w:val="0"/>
          <w:i w:val="0"/>
          <w:iCs w:val="0"/>
          <w:caps w:val="0"/>
          <w:color w:val="auto"/>
          <w:spacing w:val="0"/>
          <w:w w:val="100"/>
          <w:sz w:val="31"/>
          <w:szCs w:val="31"/>
        </w:rPr>
        <w:t>：</w:t>
      </w:r>
    </w:p>
    <w:p>
      <w:pPr>
        <w:pStyle w:val="6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仿宋_GB2312" w:hAnsi="Times New Roman" w:eastAsia="仿宋_GB2312" w:cs="Times New Roman"/>
          <w:snapToGrid w:val="0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-4"/>
          <w:kern w:val="2"/>
          <w:sz w:val="32"/>
          <w:szCs w:val="32"/>
          <w:lang w:val="en-US" w:eastAsia="zh-CN" w:bidi="ar-SA"/>
        </w:rPr>
        <w:t>现将《</w:t>
      </w:r>
      <w:r>
        <w:rPr>
          <w:rFonts w:hint="eastAsia" w:ascii="仿宋_GB2312" w:cs="Times New Roman"/>
          <w:snapToGrid w:val="0"/>
          <w:color w:val="auto"/>
          <w:spacing w:val="-4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-4"/>
          <w:kern w:val="2"/>
          <w:sz w:val="32"/>
          <w:szCs w:val="32"/>
          <w:lang w:val="en-US" w:eastAsia="zh-CN" w:bidi="ar-SA"/>
        </w:rPr>
        <w:t>年城管局“双随机、一公开”监管工作实施方案》印发给你们，</w:t>
      </w:r>
      <w:r>
        <w:rPr>
          <w:rFonts w:hint="default" w:ascii="仿宋_GB2312" w:hAnsi="Times New Roman" w:eastAsia="仿宋_GB2312" w:cs="Times New Roman"/>
          <w:snapToGrid w:val="0"/>
          <w:color w:val="auto"/>
          <w:spacing w:val="-4"/>
          <w:kern w:val="2"/>
          <w:sz w:val="32"/>
          <w:szCs w:val="32"/>
          <w:lang w:val="en-US" w:eastAsia="zh-CN" w:bidi="ar-SA"/>
        </w:rPr>
        <w:t>请各股室按照文件要求做好“双随机、一公开”工作。</w:t>
      </w:r>
    </w:p>
    <w:p>
      <w:pPr>
        <w:adjustRightInd w:val="0"/>
        <w:snapToGrid w:val="0"/>
        <w:spacing w:line="600" w:lineRule="exact"/>
        <w:ind w:firstLine="480" w:firstLineChars="200"/>
        <w:rPr>
          <w:rFonts w:hint="eastAsia" w:ascii="仿宋_GB2312" w:hAnsi="仿宋_GB2312" w:cs="仿宋_GB2312"/>
          <w:color w:val="auto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_GB2312" w:hAnsi="宋体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31"/>
          <w:szCs w:val="31"/>
          <w:lang w:val="en-US" w:eastAsia="zh-CN" w:bidi="ar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_GB2312" w:hAnsi="宋体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31"/>
          <w:szCs w:val="31"/>
          <w:lang w:val="en-US" w:eastAsia="zh-CN" w:bidi="ar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_GB2312" w:hAnsi="宋体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iCs w:val="0"/>
          <w:caps w:val="0"/>
          <w:color w:val="auto"/>
          <w:spacing w:val="0"/>
          <w:w w:val="100"/>
          <w:kern w:val="0"/>
          <w:sz w:val="31"/>
          <w:szCs w:val="31"/>
          <w:lang w:val="en-US" w:eastAsia="zh-CN" w:bidi="ar"/>
        </w:rPr>
        <w:t>鹰手营子矿区城市管理综合行政执法局</w:t>
      </w:r>
    </w:p>
    <w:p>
      <w:pPr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 xml:space="preserve">                            </w:t>
      </w:r>
      <w:r>
        <w:rPr>
          <w:rFonts w:ascii="仿宋_GB2312"/>
          <w:color w:val="auto"/>
          <w:szCs w:val="32"/>
        </w:rPr>
        <w:t xml:space="preserve">   </w:t>
      </w:r>
      <w:r>
        <w:rPr>
          <w:rFonts w:hint="eastAsia" w:ascii="仿宋_GB2312"/>
          <w:color w:val="auto"/>
          <w:szCs w:val="32"/>
          <w:lang w:eastAsia="zh-CN"/>
        </w:rPr>
        <w:t>2024</w:t>
      </w:r>
      <w:r>
        <w:rPr>
          <w:rFonts w:hint="eastAsia" w:ascii="仿宋_GB2312"/>
          <w:color w:val="auto"/>
          <w:szCs w:val="32"/>
        </w:rPr>
        <w:t>年</w:t>
      </w:r>
      <w:r>
        <w:rPr>
          <w:rFonts w:hint="eastAsia" w:ascii="仿宋_GB2312"/>
          <w:color w:val="auto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Cs w:val="32"/>
        </w:rPr>
        <w:t>月</w:t>
      </w:r>
      <w:r>
        <w:rPr>
          <w:rFonts w:hint="eastAsia" w:ascii="仿宋_GB2312"/>
          <w:color w:val="auto"/>
          <w:szCs w:val="32"/>
          <w:lang w:val="en-US" w:eastAsia="zh-CN"/>
        </w:rPr>
        <w:t>11</w:t>
      </w:r>
      <w:bookmarkStart w:id="1" w:name="_GoBack"/>
      <w:bookmarkEnd w:id="1"/>
      <w:r>
        <w:rPr>
          <w:rFonts w:hint="eastAsia" w:ascii="仿宋_GB2312"/>
          <w:color w:val="auto"/>
          <w:szCs w:val="32"/>
        </w:rPr>
        <w:t>日</w:t>
      </w: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  <w:lang w:eastAsia="zh-CN"/>
        </w:rPr>
        <w:t>城管局</w:t>
      </w:r>
      <w:r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</w:rPr>
        <w:t>“双随机、一公开”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60"/>
          <w:sz w:val="44"/>
          <w:szCs w:val="44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6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60"/>
          <w:szCs w:val="32"/>
        </w:rPr>
      </w:pPr>
      <w:r>
        <w:rPr>
          <w:rFonts w:hint="eastAsia" w:ascii="仿宋_GB2312" w:hAnsi="仿宋_GB2312" w:cs="仿宋_GB2312"/>
          <w:color w:val="auto"/>
          <w:kern w:val="60"/>
          <w:szCs w:val="32"/>
        </w:rPr>
        <w:t>为深入贯彻落实</w:t>
      </w:r>
      <w:r>
        <w:rPr>
          <w:rFonts w:hint="eastAsia" w:ascii="仿宋_GB2312" w:hAnsi="仿宋_GB2312" w:cs="仿宋_GB2312"/>
          <w:color w:val="auto"/>
          <w:kern w:val="60"/>
          <w:szCs w:val="32"/>
          <w:lang w:eastAsia="zh-CN"/>
        </w:rPr>
        <w:t>区委、区</w:t>
      </w:r>
      <w:r>
        <w:rPr>
          <w:rFonts w:hint="eastAsia" w:ascii="仿宋_GB2312" w:hAnsi="仿宋_GB2312" w:cs="仿宋_GB2312"/>
          <w:color w:val="auto"/>
          <w:kern w:val="60"/>
          <w:szCs w:val="32"/>
        </w:rPr>
        <w:t>政府关于深化“放管服”改革</w:t>
      </w:r>
      <w:r>
        <w:rPr>
          <w:rFonts w:hint="eastAsia" w:ascii="仿宋_GB2312" w:hAnsi="仿宋_GB2312" w:cs="仿宋_GB2312"/>
          <w:color w:val="auto"/>
          <w:kern w:val="60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kern w:val="60"/>
          <w:szCs w:val="32"/>
        </w:rPr>
        <w:t>优化营商环境部署要求，根据《202</w:t>
      </w:r>
      <w:r>
        <w:rPr>
          <w:rFonts w:hint="eastAsia" w:ascii="仿宋_GB2312" w:hAnsi="仿宋_GB2312" w:cs="仿宋_GB2312"/>
          <w:color w:val="auto"/>
          <w:kern w:val="60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kern w:val="60"/>
          <w:szCs w:val="32"/>
        </w:rPr>
        <w:t>年</w:t>
      </w:r>
      <w:r>
        <w:rPr>
          <w:rFonts w:hint="eastAsia" w:ascii="仿宋_GB2312" w:hAnsi="仿宋_GB2312" w:cs="仿宋_GB2312"/>
          <w:color w:val="auto"/>
          <w:kern w:val="60"/>
          <w:szCs w:val="32"/>
          <w:lang w:val="en-US" w:eastAsia="zh-CN"/>
        </w:rPr>
        <w:t>营子区</w:t>
      </w:r>
      <w:r>
        <w:rPr>
          <w:rFonts w:hint="eastAsia" w:ascii="仿宋_GB2312" w:hAnsi="仿宋_GB2312" w:cs="仿宋_GB2312"/>
          <w:color w:val="auto"/>
          <w:kern w:val="60"/>
          <w:szCs w:val="32"/>
        </w:rPr>
        <w:t>“双随机、一公开”监管工作实施方案》（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营</w:t>
      </w:r>
      <w:r>
        <w:rPr>
          <w:rFonts w:hint="eastAsia" w:ascii="仿宋_GB2312" w:hAnsi="仿宋_GB2312" w:cs="仿宋_GB2312"/>
          <w:color w:val="auto"/>
          <w:szCs w:val="32"/>
        </w:rPr>
        <w:t>双随机办〔202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Cs w:val="32"/>
        </w:rPr>
        <w:t>号）</w:t>
      </w:r>
      <w:r>
        <w:rPr>
          <w:rFonts w:hint="eastAsia" w:ascii="仿宋_GB2312" w:hAnsi="仿宋_GB2312" w:cs="仿宋_GB2312"/>
          <w:color w:val="auto"/>
          <w:kern w:val="60"/>
          <w:szCs w:val="32"/>
        </w:rPr>
        <w:t>等文件要求，制定本方案。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60"/>
          <w:szCs w:val="32"/>
        </w:rPr>
      </w:pPr>
      <w:r>
        <w:rPr>
          <w:rFonts w:hint="eastAsia" w:ascii="黑体" w:hAnsi="黑体" w:eastAsia="黑体" w:cs="黑体"/>
          <w:color w:val="auto"/>
          <w:kern w:val="60"/>
          <w:szCs w:val="32"/>
        </w:rPr>
        <w:t>一、</w:t>
      </w:r>
      <w:r>
        <w:rPr>
          <w:rFonts w:hint="eastAsia" w:ascii="黑体" w:hAnsi="黑体" w:eastAsia="黑体" w:cs="黑体"/>
          <w:color w:val="000000"/>
          <w:kern w:val="60"/>
          <w:sz w:val="32"/>
          <w:szCs w:val="32"/>
        </w:rPr>
        <w:t>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60"/>
          <w:szCs w:val="32"/>
        </w:rPr>
      </w:pPr>
      <w:r>
        <w:rPr>
          <w:rFonts w:hint="eastAsia" w:ascii="仿宋_GB2312" w:hAnsi="仿宋_GB2312" w:cs="仿宋_GB2312"/>
          <w:color w:val="auto"/>
          <w:kern w:val="60"/>
          <w:szCs w:val="32"/>
        </w:rPr>
        <w:t>在全面梳理监管事项，制定随机抽查事项清单，建立市场主体名录库和执法检查人员名录库的基础上，采用“双随机”抽查的方法，对我局监管的市场主体进行执法检查，进一步加强事中事后监管，规范市场执法行为，避免检查任性和执法扰民、执法不公、执法不严等问题，营造公平竞争的发展环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60"/>
          <w:sz w:val="32"/>
          <w:szCs w:val="32"/>
          <w:lang w:val="en-US" w:eastAsia="zh-CN" w:bidi="ar-SA"/>
        </w:rPr>
        <w:t>二、主要任务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（一）制定随机抽查事项清单。根据法律、法规、规章的规定，全面梳理本单位的监管事项，制定本局随机抽查事项清单，逐项明确了抽查事项名称、内容、抽查依据、抽查主体、检查方式等。随机抽查事项清单将根据法律、法规、规章修订情况和工作实际进行动态调整，并及时向社会公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(二)规范双随机抽查工作程序。要根据年度随机抽查工作计划安排,科学组织抽查检查。通过河北省双随机监管工作平台,从检查对象名录库中随机抽取检查对象,根据所涉及到的抽查对象范围和检查事项情况,随机匹配执法检查人员。对每次抽查制定的工作方案,要及时向社会公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cs="仿宋_GB2312"/>
          <w:color w:val="auto"/>
          <w:kern w:val="6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）加强抽查结果运用。对抽查发现的违法违规行为和情形，将依法依规加大惩处力度，增强市场主体守法的自觉性。执法人员对抽查的企业检查结束后，将抽查情况及查处结果及时向社会公布，主动接受社会监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60"/>
          <w:sz w:val="32"/>
          <w:szCs w:val="32"/>
          <w:lang w:val="en-US" w:eastAsia="zh-CN" w:bidi="ar-SA"/>
        </w:rPr>
        <w:t>三、工作要求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（一）加强组织领导。加强对本局“双随机、一公开”监管工作的组织领导,进一步增强责任意识,结合实际制定抽查计划和具体实施方案,细化工作目标任务,完善工作机制,扎实推进“双随机、一公开”监管工作,确保工作取得实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（二）强化责任落实。各业务</w:t>
      </w:r>
      <w:r>
        <w:rPr>
          <w:rFonts w:hint="eastAsia" w:ascii="仿宋_GB2312" w:hAnsi="仿宋_GB2312" w:cs="仿宋_GB2312"/>
          <w:color w:val="auto"/>
          <w:kern w:val="60"/>
          <w:sz w:val="32"/>
          <w:szCs w:val="32"/>
          <w:lang w:val="en-US" w:eastAsia="zh-CN" w:bidi="ar-SA"/>
        </w:rPr>
        <w:t>股室</w:t>
      </w: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要根据本实施方案要求，具体细化推进随机抽查的任务和步骤，明确工作进度要求，落实责任分工，强化过程管控，确保此项工作落到实处，抓出成效。</w:t>
      </w:r>
      <w:r>
        <w:rPr>
          <w:rFonts w:hint="eastAsia" w:ascii="仿宋_GB2312" w:hAnsi="仿宋_GB2312" w:cs="仿宋_GB2312"/>
          <w:color w:val="auto"/>
          <w:kern w:val="60"/>
          <w:sz w:val="32"/>
          <w:szCs w:val="32"/>
          <w:lang w:val="en-US" w:eastAsia="zh-CN" w:bidi="ar-SA"/>
        </w:rPr>
        <w:t xml:space="preserve">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val="en-US" w:eastAsia="zh-CN" w:bidi="ar-SA"/>
        </w:rPr>
        <w:t>（三）做好统筹协调。充分发挥机构改革的整体效应,强化工作融合,完善条线监管,做好对本局“双随机、一公开”监管工作的整体推进。要加强与各股室的沟通联络,密切协同配合,真正形成工作推进合力。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p>
      <w:pPr>
        <w:pStyle w:val="2"/>
        <w:rPr>
          <w:rFonts w:hint="eastAsia" w:ascii="仿宋_GB2312"/>
          <w:color w:val="auto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Tg0M2YzMjU3YjE0OWIxZWVmNTc1OGY2OTAzODQifQ=="/>
  </w:docVars>
  <w:rsids>
    <w:rsidRoot w:val="00000000"/>
    <w:rsid w:val="0AC72CD7"/>
    <w:rsid w:val="200B773B"/>
    <w:rsid w:val="23552806"/>
    <w:rsid w:val="408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99"/>
    <w:pPr>
      <w:ind w:firstLine="560"/>
    </w:pPr>
    <w:rPr>
      <w:sz w:val="28"/>
    </w:rPr>
  </w:style>
  <w:style w:type="paragraph" w:styleId="4">
    <w:name w:val="Body Text"/>
    <w:basedOn w:val="1"/>
    <w:qFormat/>
    <w:uiPriority w:val="0"/>
    <w:pPr>
      <w:jc w:val="center"/>
    </w:pPr>
    <w:rPr>
      <w:szCs w:val="2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2024-02-27T02:26:00Z</dcterms:created>
  <dc:creator>Administrator</dc:creator>
  <cp:lastModifiedBy>营子区城管局</cp:lastModifiedBy>
  <dcterms:modified xsi:type="dcterms:W3CDTF">2024-03-11T01:57:25Z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2947AD271FAB4B4F9F3F07B578E7B6FD_12</vt:lpwstr>
  </property>
</Properties>
</file>