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42C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eastAsia="zh-CN"/>
        </w:rPr>
      </w:pPr>
    </w:p>
    <w:p w14:paraId="7BB2D0D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eastAsia="zh-CN"/>
        </w:rPr>
      </w:pPr>
    </w:p>
    <w:p w14:paraId="698729A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lang w:eastAsia="zh-CN"/>
        </w:rPr>
        <w:t>鹰手营子矿区城市管理综合行政执法局</w:t>
      </w:r>
    </w:p>
    <w:p w14:paraId="21501F9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44"/>
          <w:szCs w:val="44"/>
          <w:lang w:val="en-US" w:eastAsia="zh-CN"/>
        </w:rPr>
        <w:t>2024年法治政府建设工作报告</w:t>
      </w:r>
    </w:p>
    <w:p w14:paraId="1360465D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/>
          <w:b w:val="0"/>
          <w:bCs w:val="0"/>
          <w:color w:val="auto"/>
        </w:rPr>
      </w:pPr>
    </w:p>
    <w:p w14:paraId="732C6B7B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年以来,在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委、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政府的正确领导下，我局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习近平新时代中国特色社会主义思想为指导，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深入学习贯彻党的二十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届三中全会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精神和中央全面依法治国重要论述，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紧紧围绕法治政府建设目标，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强化法治意识，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坚持依法行政，规范执法行为，不断提升城市管理法治化水平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规范和完善各项规章制度,严格履行法定职责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切实加快法治政府建设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现将工作情况报告如下:</w:t>
      </w:r>
    </w:p>
    <w:p w14:paraId="382F949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工作开展情况</w:t>
      </w:r>
    </w:p>
    <w:p w14:paraId="01402B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中宋" w:eastAsia="楷体_GB2312"/>
          <w:b w:val="0"/>
          <w:bCs/>
          <w:sz w:val="32"/>
          <w:szCs w:val="32"/>
        </w:rPr>
        <w:t>（一）</w:t>
      </w:r>
      <w:r>
        <w:rPr>
          <w:rFonts w:hint="eastAsia" w:ascii="楷体_GB2312" w:hAnsi="华文中宋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深入学习贯彻习近平法治思想。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将习近平法治思想列入局党组会议、理论学习中心组学习计划，全面学、系统学、深入学，形成制度和习惯，专题学习宪法、城市管理法律法规等，并定期组织集中学习研讨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推动习近平法治思想和党中央关于法治建设重大决策部署入脑入心，切实把法治建设作为重要政治责任来担当，作为重要工作任务来推进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切实增强领导干部运用法治思维和法治方式解决问题的能力。</w:t>
      </w:r>
    </w:p>
    <w:p w14:paraId="50A00B7B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top"/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中宋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hAnsi="华文中宋" w:eastAsia="楷体_GB2312"/>
          <w:b w:val="0"/>
          <w:bCs/>
          <w:sz w:val="32"/>
          <w:szCs w:val="32"/>
          <w:lang w:eastAsia="zh-CN"/>
        </w:rPr>
        <w:t>二</w:t>
      </w:r>
      <w:r>
        <w:rPr>
          <w:rFonts w:hint="eastAsia" w:ascii="楷体_GB2312" w:hAnsi="华文中宋" w:eastAsia="楷体_GB2312" w:cs="Times New Roman"/>
          <w:b w:val="0"/>
          <w:bCs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</w:rPr>
        <w:t>全面落实权责清单制度</w:t>
      </w: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我局编制并对外公示城管局权责清单，逐一明确法律依据、实施主体、责任方式等，并根据法律法规的变化实行动态调整。我局现有行政权力事项479项，行政处罚465项，行政强制2项，行政检查12项。 </w:t>
      </w:r>
    </w:p>
    <w:p w14:paraId="728B539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华文中宋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）行政执法严格规范公正文明</w:t>
      </w:r>
    </w:p>
    <w:p w14:paraId="75090F34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top"/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1.全面推行行政执法公示制度。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行政执法主体、权限、依据、程序等和随机抽查事项清单等信息全面准确及时主动公开，</w:t>
      </w:r>
      <w:r>
        <w:rPr>
          <w:rFonts w:hint="default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按照“谁制作、谁公开”的原则，做好政务公开工作，及时向社会公布我局工作行政执法信息。</w:t>
      </w:r>
    </w:p>
    <w:p w14:paraId="395732B9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top"/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2.全面推行执法全过程记录制度。</w:t>
      </w:r>
      <w:r>
        <w:rPr>
          <w:rStyle w:val="6"/>
          <w:rFonts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自我局出台相关制度，我局执法人员在行政执法过程进行了行政执法全过程记录。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并实现全面系统归档保存，做到执法全过程留痕和可回溯管理。行政执法文书格式严格按照本系统有关文书格式，做到行政执法活动文字记录合法规范、客观全面、及时准确，执法案卷和执法文书要素齐备、填写规范、归档完整。</w:t>
      </w:r>
    </w:p>
    <w:p w14:paraId="71282AD9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top"/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3.全面推行重大执法决定法制审核制度。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充分发挥法制审核部门职能作用，作出重大执法决定前均严格进行法制审核，重大执法决定法制审核制度执行率达100%。保证执法工作分工清晰、案审机制运行顺畅。今年以来，局法制审核部门共审核文书案卷3份，局集体讨论决策案件3件。</w:t>
      </w:r>
    </w:p>
    <w:p w14:paraId="586F4510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top"/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华文中宋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4. 健全行政执法人员管理制度。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全面实行行政执法人员持证上岗和资格管理制度。每年按区司法局安排开展行政执法人员公共法律知识、专门法律知识、新法律法规等专题培训、考试，考核合格率达</w:t>
      </w:r>
      <w:r>
        <w:rPr>
          <w:rFonts w:hint="default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100%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BEA2A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二、存在问题和不足</w:t>
      </w:r>
    </w:p>
    <w:p w14:paraId="7AF52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法治队伍建设力量薄弱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，个别执法人员依法行政意识不够强，业务水平还不够高，执法程序把握得还不够准，办案水平还有待提高，对复杂的法律问题难以准确把握。</w:t>
      </w:r>
    </w:p>
    <w:p w14:paraId="6169C1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普法宣传形式不够丰富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利用新媒体创新开展法治宣传的手段还不够丰富，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线上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普法的能力不够高，仍依赖传统线下普法载体，推陈出新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能力不够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，致使法治宣传教育工作缺乏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广泛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性、互动性和吸引力。</w:t>
      </w:r>
    </w:p>
    <w:p w14:paraId="4743AB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下一步</w:t>
      </w:r>
      <w:r>
        <w:rPr>
          <w:rFonts w:hint="default" w:ascii="黑体" w:hAnsi="黑体" w:eastAsia="黑体" w:cs="Times New Roman"/>
          <w:kern w:val="2"/>
          <w:sz w:val="32"/>
          <w:szCs w:val="32"/>
          <w:lang w:val="en-US" w:eastAsia="zh-CN" w:bidi="ar-SA"/>
        </w:rPr>
        <w:t>工作计划</w:t>
      </w:r>
    </w:p>
    <w:p w14:paraId="4B7490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下一步，我局将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继续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积极探索城市管理和综合执法新方法、新路径，开拓进取、真抓实干，进一步推动城市管理高质量发展。</w:t>
      </w:r>
    </w:p>
    <w:p w14:paraId="71C492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一是继续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规范行政执法程序，明确行政执法责任，持续推进重大执法案件法制审核、行政执法全过程记录等制度，严格规范执法人员公正文明执法。落实执法队伍管理制度，健全行政执法人员管理，确保行政执法人员持证上岗率和培训率保持在100％，多措并举树立城管执法队伍严格、规范、文明执法的形象。</w:t>
      </w:r>
    </w:p>
    <w:p w14:paraId="00E7975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抓法治宣传教育，提高法治思想认识。重点做好广大干部职工法律法规的学习教育，采取集中学与自学相结合，线上与线下学习相结合的办法，全面提高全局干部职工的法治观念和依法行政能力。</w:t>
      </w:r>
    </w:p>
    <w:p w14:paraId="4EAD0F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三是加强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执法业务培训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以夯实城管执法人员的执法业务基础能力为培训目标，结合我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局</w:t>
      </w:r>
      <w:r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城管管理工作中涉及的各项工作，常态化组织开展集中执法培训活动，提升城管执法人员运用法治思维和法治方式分析、处理城市管理问题的能力水平，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大力提高城管执法队伍综合素质。</w:t>
      </w:r>
    </w:p>
    <w:p w14:paraId="216B655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</w:p>
    <w:p w14:paraId="298E0D5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</w:p>
    <w:p w14:paraId="63CD07B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鹰手营子矿区城市管理综合行政执法局</w:t>
      </w:r>
    </w:p>
    <w:p w14:paraId="7555BF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 w:bidi="ar-SA"/>
        </w:rPr>
        <w:t>2025年3月26日</w:t>
      </w:r>
    </w:p>
    <w:p w14:paraId="4737437A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right"/>
        <w:rPr>
          <w:rFonts w:hint="eastAsia" w:eastAsia="方正仿宋_GBK"/>
          <w:b w:val="0"/>
          <w:bCs w:val="0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C7B52"/>
    <w:multiLevelType w:val="singleLevel"/>
    <w:tmpl w:val="D80C7B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YTg0M2YzMjU3YjE0OWIxZWVmNTc1OGY2OTAzODQifQ=="/>
  </w:docVars>
  <w:rsids>
    <w:rsidRoot w:val="00000000"/>
    <w:rsid w:val="03BE4EA2"/>
    <w:rsid w:val="03E31014"/>
    <w:rsid w:val="091A3917"/>
    <w:rsid w:val="0A746389"/>
    <w:rsid w:val="0F6E70D9"/>
    <w:rsid w:val="1B0F59A2"/>
    <w:rsid w:val="209F4537"/>
    <w:rsid w:val="228F3773"/>
    <w:rsid w:val="352C2C35"/>
    <w:rsid w:val="36A25D68"/>
    <w:rsid w:val="374B4C2A"/>
    <w:rsid w:val="3B493B67"/>
    <w:rsid w:val="427D7F86"/>
    <w:rsid w:val="45E92CBB"/>
    <w:rsid w:val="4F96176E"/>
    <w:rsid w:val="518C15FD"/>
    <w:rsid w:val="52AF125C"/>
    <w:rsid w:val="63E92556"/>
    <w:rsid w:val="67642FCA"/>
    <w:rsid w:val="68D245A0"/>
    <w:rsid w:val="69237FD3"/>
    <w:rsid w:val="6CD075A7"/>
    <w:rsid w:val="6CF13171"/>
    <w:rsid w:val="714D2C67"/>
    <w:rsid w:val="73085D88"/>
    <w:rsid w:val="7767024F"/>
    <w:rsid w:val="7A223AAA"/>
    <w:rsid w:val="7CF3369F"/>
    <w:rsid w:val="7E35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1599</Characters>
  <Lines>0</Lines>
  <Paragraphs>0</Paragraphs>
  <TotalTime>4</TotalTime>
  <ScaleCrop>false</ScaleCrop>
  <LinksUpToDate>false</LinksUpToDate>
  <CharactersWithSpaces>1604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2023-12-26T01:11:00Z</dcterms:created>
  <dc:creator>Administrator</dc:creator>
  <cp:lastModifiedBy>营子区城管局</cp:lastModifiedBy>
  <cp:lastPrinted>2024-01-02T06:06:00Z</cp:lastPrinted>
  <dcterms:modified xsi:type="dcterms:W3CDTF">2025-03-26T09:00:48Z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1FDC2BB0980D498FB924C42A30DD37DB_12</vt:lpwstr>
  </property>
  <property fmtid="{D5CDD505-2E9C-101B-9397-08002B2CF9AE}" pid="4" name="KSOTemplateDocerSaveRecord">
    <vt:lpwstr>eyJoZGlkIjoiN2JiYTg0M2YzMjU3YjE0OWIxZWVmNTc1OGY2OTAzODQifQ==</vt:lpwstr>
  </property>
</Properties>
</file>