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92644">
      <w:pPr>
        <w:ind w:firstLine="883"/>
        <w:jc w:val="center"/>
        <w:rPr>
          <w:rFonts w:ascii="宋体"/>
          <w:b/>
          <w:sz w:val="44"/>
          <w:szCs w:val="44"/>
        </w:rPr>
      </w:pPr>
      <w:r>
        <w:rPr>
          <w:rFonts w:hint="eastAsia" w:ascii="宋体" w:hAnsi="宋体"/>
          <w:b/>
          <w:sz w:val="44"/>
          <w:szCs w:val="44"/>
        </w:rPr>
        <w:t>中共承德市鹰手营子矿区委区直机关工委2018年部门预算信息公开</w:t>
      </w:r>
    </w:p>
    <w:p w14:paraId="5E7E0530">
      <w:pPr>
        <w:ind w:firstLine="640"/>
        <w:rPr>
          <w:rFonts w:hint="eastAsia" w:ascii="仿宋_GB2312" w:hAnsi="Times New Roman" w:eastAsia="仿宋_GB2312"/>
          <w:sz w:val="32"/>
          <w:szCs w:val="32"/>
        </w:rPr>
      </w:pPr>
      <w:r>
        <w:rPr>
          <w:rFonts w:hint="eastAsia" w:ascii="仿宋_GB2312" w:hAnsi="Times New Roman" w:eastAsia="仿宋_GB2312"/>
          <w:sz w:val="32"/>
          <w:szCs w:val="32"/>
        </w:rPr>
        <w:t>按照《</w:t>
      </w:r>
      <w:r>
        <w:rPr>
          <w:rFonts w:hint="eastAsia" w:ascii="仿宋_GB2312" w:hAnsi="Times New Roman" w:eastAsia="仿宋_GB2312"/>
          <w:sz w:val="32"/>
          <w:szCs w:val="32"/>
          <w:lang w:val="en-US" w:eastAsia="zh-CN"/>
        </w:rPr>
        <w:t>中华人民共和国</w:t>
      </w:r>
      <w:r>
        <w:rPr>
          <w:rFonts w:hint="eastAsia" w:ascii="仿宋_GB2312" w:hAnsi="Times New Roman" w:eastAsia="仿宋_GB2312"/>
          <w:sz w:val="32"/>
          <w:szCs w:val="32"/>
        </w:rPr>
        <w:t>预算法》、《地方预决算公开操作规程》和《河北省省级预算公开办法》规定，现将中共承德市鹰手营子矿区委区直机关工委2018年部门预算公开如下：</w:t>
      </w:r>
    </w:p>
    <w:p w14:paraId="1F374AFE">
      <w:pPr>
        <w:ind w:firstLine="640"/>
        <w:rPr>
          <w:rFonts w:hint="eastAsia" w:ascii="仿宋_GB2312" w:hAnsi="Times New Roman" w:eastAsia="仿宋_GB2312"/>
          <w:sz w:val="32"/>
          <w:szCs w:val="32"/>
        </w:rPr>
      </w:pPr>
      <w:r>
        <w:rPr>
          <w:rFonts w:hint="eastAsia" w:ascii="仿宋_GB2312" w:hAnsi="Times New Roman" w:eastAsia="仿宋_GB2312"/>
          <w:sz w:val="32"/>
          <w:szCs w:val="32"/>
        </w:rPr>
        <w:t>一、部门职责及机构设置情况</w:t>
      </w:r>
    </w:p>
    <w:p w14:paraId="68565C86">
      <w:pPr>
        <w:rPr>
          <w:rFonts w:hint="eastAsia" w:ascii="仿宋_GB2312" w:hAnsi="仿宋" w:eastAsia="仿宋_GB2312" w:cs="宋体"/>
          <w:b/>
          <w:sz w:val="32"/>
          <w:szCs w:val="32"/>
        </w:rPr>
      </w:pPr>
      <w:r>
        <w:rPr>
          <w:rFonts w:hint="eastAsia" w:ascii="仿宋_GB2312" w:hAnsi="仿宋" w:eastAsia="仿宋_GB2312" w:cs="宋体"/>
          <w:b/>
          <w:sz w:val="32"/>
          <w:szCs w:val="32"/>
        </w:rPr>
        <w:t>1.1主要职责</w:t>
      </w:r>
    </w:p>
    <w:p w14:paraId="10D4AEA3">
      <w:pPr>
        <w:ind w:firstLine="640"/>
        <w:jc w:val="left"/>
        <w:rPr>
          <w:rFonts w:hint="eastAsia" w:ascii="仿宋_GB2312" w:hAnsi="仿宋" w:eastAsia="仿宋_GB2312" w:cs="宋体"/>
          <w:sz w:val="32"/>
          <w:szCs w:val="32"/>
        </w:rPr>
      </w:pPr>
      <w:r>
        <w:rPr>
          <w:rFonts w:hint="eastAsia" w:ascii="仿宋_GB2312" w:hAnsi="仿宋" w:eastAsia="仿宋_GB2312" w:cs="宋体"/>
          <w:sz w:val="32"/>
          <w:szCs w:val="32"/>
        </w:rPr>
        <w:t>2018年区直机关工委指导区直机关各级基层党组织，运用马克思主义中国化的最新理论成果，教育区直机关党员干部树立正确的世界观、人生观和价值观。认真落实《</w:t>
      </w:r>
      <w:r>
        <w:rPr>
          <w:rFonts w:hint="eastAsia" w:ascii="仿宋_GB2312" w:hAnsi="仿宋" w:eastAsia="仿宋_GB2312" w:cs="宋体"/>
          <w:sz w:val="32"/>
          <w:szCs w:val="32"/>
          <w:lang w:val="en-US" w:eastAsia="zh-CN"/>
        </w:rPr>
        <w:t>中国共产党章程</w:t>
      </w:r>
      <w:r>
        <w:rPr>
          <w:rFonts w:hint="eastAsia" w:ascii="仿宋_GB2312" w:hAnsi="仿宋" w:eastAsia="仿宋_GB2312" w:cs="宋体"/>
          <w:sz w:val="32"/>
          <w:szCs w:val="32"/>
        </w:rPr>
        <w:t>》，加强基层党组织建设，严格组织生活制度，丰富党建活动内容，做好党员发展、教育、管理和党务干部的教育培训工作，充分发挥党组织的战斗堡垒作用和党员的先锋模范作用。落实</w:t>
      </w:r>
      <w:r>
        <w:rPr>
          <w:rFonts w:hint="eastAsia" w:ascii="仿宋_GB2312" w:hAnsi="仿宋" w:eastAsia="仿宋_GB2312" w:cs="宋体"/>
          <w:sz w:val="32"/>
          <w:szCs w:val="32"/>
          <w:lang w:val="en-US" w:eastAsia="zh-CN"/>
        </w:rPr>
        <w:t>全面从严治党</w:t>
      </w:r>
      <w:r>
        <w:rPr>
          <w:rFonts w:hint="eastAsia" w:ascii="仿宋_GB2312" w:hAnsi="仿宋" w:eastAsia="仿宋_GB2312" w:cs="宋体"/>
          <w:sz w:val="32"/>
          <w:szCs w:val="32"/>
        </w:rPr>
        <w:t>要求，加强党风党纪教育、纪律检查监督、行政监察、廉政文化建设，积极推进区直机关党风廉政建设。活跃区直机关文化生活，加强区直机关党建工作调研和交流，全面推动机关党建工作的科学化发展。</w:t>
      </w:r>
    </w:p>
    <w:p w14:paraId="24EBD33F">
      <w:pPr>
        <w:rPr>
          <w:rFonts w:hint="eastAsia" w:ascii="仿宋_GB2312" w:hAnsi="仿宋" w:eastAsia="仿宋_GB2312"/>
          <w:b/>
          <w:sz w:val="32"/>
          <w:szCs w:val="32"/>
        </w:rPr>
      </w:pPr>
      <w:r>
        <w:rPr>
          <w:rFonts w:hint="eastAsia" w:ascii="仿宋_GB2312" w:hAnsi="仿宋" w:eastAsia="仿宋_GB2312" w:cs="宋体"/>
          <w:b/>
          <w:sz w:val="32"/>
          <w:szCs w:val="32"/>
        </w:rPr>
        <w:t>1.2内设机构</w:t>
      </w:r>
    </w:p>
    <w:p w14:paraId="6FB31312">
      <w:pPr>
        <w:ind w:firstLine="640"/>
        <w:rPr>
          <w:rFonts w:hint="eastAsia" w:ascii="仿宋_GB2312" w:hAnsi="仿宋" w:eastAsia="仿宋_GB2312"/>
          <w:sz w:val="32"/>
          <w:szCs w:val="32"/>
        </w:rPr>
      </w:pPr>
      <w:r>
        <w:rPr>
          <w:rFonts w:hint="eastAsia" w:ascii="仿宋_GB2312" w:hAnsi="仿宋" w:eastAsia="仿宋_GB2312"/>
          <w:sz w:val="32"/>
          <w:szCs w:val="32"/>
        </w:rPr>
        <w:t>无下设职能科（室）</w:t>
      </w:r>
    </w:p>
    <w:p w14:paraId="393F4BD7">
      <w:pPr>
        <w:ind w:left="198" w:firstLine="643"/>
        <w:jc w:val="left"/>
        <w:rPr>
          <w:rFonts w:hint="eastAsia" w:ascii="仿宋_GB2312" w:hAnsi="Times New Roman" w:eastAsia="仿宋_GB2312"/>
          <w:b/>
          <w:sz w:val="32"/>
          <w:szCs w:val="32"/>
        </w:rPr>
      </w:pPr>
      <w:r>
        <w:rPr>
          <w:rFonts w:hint="eastAsia" w:ascii="仿宋_GB2312" w:hAnsi="Times New Roman" w:eastAsia="仿宋_GB2312"/>
          <w:b/>
          <w:sz w:val="32"/>
          <w:szCs w:val="32"/>
        </w:rPr>
        <w:t>机构设置：</w:t>
      </w:r>
    </w:p>
    <w:p w14:paraId="384ADC0A">
      <w:pPr>
        <w:jc w:val="center"/>
        <w:outlineLvl w:val="0"/>
        <w:rPr>
          <w:rFonts w:hint="eastAsia" w:ascii="仿宋_GB2312" w:hAnsi="Times New Roman" w:eastAsia="仿宋_GB2312"/>
          <w:sz w:val="32"/>
          <w:szCs w:val="32"/>
        </w:rPr>
      </w:pPr>
      <w:r>
        <w:rPr>
          <w:rFonts w:hint="eastAsia" w:ascii="仿宋_GB2312" w:hAnsi="Times New Roman" w:eastAsia="仿宋_GB2312"/>
          <w:sz w:val="32"/>
          <w:szCs w:val="32"/>
        </w:rPr>
        <w:t>部门机构设置情况</w:t>
      </w:r>
    </w:p>
    <w:tbl>
      <w:tblPr>
        <w:tblStyle w:val="2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14:paraId="432B6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tcBorders>
              <w:top w:val="single" w:color="000000" w:sz="6" w:space="0"/>
              <w:left w:val="single" w:color="000000" w:sz="6" w:space="0"/>
              <w:bottom w:val="single" w:color="000000" w:sz="6" w:space="0"/>
              <w:right w:val="single" w:color="000000" w:sz="6" w:space="0"/>
            </w:tcBorders>
            <w:noWrap w:val="0"/>
            <w:vAlign w:val="center"/>
          </w:tcPr>
          <w:p w14:paraId="16118D37">
            <w:pPr>
              <w:spacing w:line="300" w:lineRule="exact"/>
              <w:jc w:val="center"/>
              <w:rPr>
                <w:rFonts w:ascii="仿宋_GB2312" w:hAnsi="Times New Roman" w:eastAsia="仿宋_GB2312"/>
                <w:b/>
                <w:sz w:val="32"/>
                <w:szCs w:val="32"/>
              </w:rPr>
            </w:pPr>
            <w:r>
              <w:rPr>
                <w:rFonts w:hint="eastAsia" w:ascii="仿宋_GB2312" w:hAnsi="Times New Roman" w:eastAsia="仿宋_GB2312"/>
                <w:b/>
                <w:sz w:val="32"/>
                <w:szCs w:val="32"/>
              </w:rPr>
              <w:t>单位名称</w:t>
            </w:r>
          </w:p>
        </w:tc>
        <w:tc>
          <w:tcPr>
            <w:tcW w:w="1134" w:type="dxa"/>
            <w:vMerge w:val="restart"/>
            <w:tcBorders>
              <w:top w:val="single" w:color="000000" w:sz="6" w:space="0"/>
              <w:left w:val="single" w:color="000000" w:sz="6" w:space="0"/>
              <w:bottom w:val="single" w:color="000000" w:sz="6" w:space="0"/>
              <w:right w:val="single" w:color="000000" w:sz="6" w:space="0"/>
            </w:tcBorders>
            <w:noWrap w:val="0"/>
            <w:vAlign w:val="center"/>
          </w:tcPr>
          <w:p w14:paraId="1AAD3D92">
            <w:pPr>
              <w:spacing w:line="300" w:lineRule="exact"/>
              <w:jc w:val="center"/>
              <w:rPr>
                <w:rFonts w:ascii="仿宋_GB2312" w:hAnsi="Times New Roman" w:eastAsia="仿宋_GB2312"/>
                <w:b/>
                <w:sz w:val="32"/>
                <w:szCs w:val="32"/>
              </w:rPr>
            </w:pPr>
            <w:r>
              <w:rPr>
                <w:rFonts w:hint="eastAsia" w:ascii="仿宋_GB2312" w:hAnsi="Times New Roman" w:eastAsia="仿宋_GB2312"/>
                <w:b/>
                <w:sz w:val="32"/>
                <w:szCs w:val="32"/>
              </w:rPr>
              <w:t>单位性质</w:t>
            </w:r>
          </w:p>
        </w:tc>
        <w:tc>
          <w:tcPr>
            <w:tcW w:w="1276" w:type="dxa"/>
            <w:vMerge w:val="restart"/>
            <w:tcBorders>
              <w:top w:val="single" w:color="000000" w:sz="6" w:space="0"/>
              <w:left w:val="single" w:color="000000" w:sz="6" w:space="0"/>
              <w:bottom w:val="single" w:color="000000" w:sz="6" w:space="0"/>
              <w:right w:val="single" w:color="000000" w:sz="6" w:space="0"/>
            </w:tcBorders>
            <w:noWrap w:val="0"/>
            <w:vAlign w:val="center"/>
          </w:tcPr>
          <w:p w14:paraId="09A7ECDB">
            <w:pPr>
              <w:spacing w:line="300" w:lineRule="exact"/>
              <w:jc w:val="center"/>
              <w:rPr>
                <w:rFonts w:ascii="仿宋_GB2312" w:hAnsi="Times New Roman" w:eastAsia="仿宋_GB2312"/>
                <w:b/>
                <w:sz w:val="32"/>
                <w:szCs w:val="32"/>
              </w:rPr>
            </w:pPr>
            <w:r>
              <w:rPr>
                <w:rFonts w:hint="eastAsia" w:ascii="仿宋_GB2312" w:hAnsi="Times New Roman" w:eastAsia="仿宋_GB2312"/>
                <w:b/>
                <w:sz w:val="32"/>
                <w:szCs w:val="32"/>
              </w:rPr>
              <w:t>单位规格</w:t>
            </w:r>
          </w:p>
        </w:tc>
        <w:tc>
          <w:tcPr>
            <w:tcW w:w="2902" w:type="dxa"/>
            <w:vMerge w:val="restart"/>
            <w:tcBorders>
              <w:top w:val="single" w:color="000000" w:sz="6" w:space="0"/>
              <w:left w:val="single" w:color="000000" w:sz="6" w:space="0"/>
              <w:bottom w:val="single" w:color="000000" w:sz="6" w:space="0"/>
              <w:right w:val="single" w:color="000000" w:sz="6" w:space="0"/>
            </w:tcBorders>
            <w:noWrap w:val="0"/>
            <w:vAlign w:val="center"/>
          </w:tcPr>
          <w:p w14:paraId="50CB9F86">
            <w:pPr>
              <w:spacing w:line="300" w:lineRule="exact"/>
              <w:jc w:val="center"/>
              <w:rPr>
                <w:rFonts w:ascii="仿宋_GB2312" w:hAnsi="Times New Roman" w:eastAsia="仿宋_GB2312"/>
                <w:b/>
                <w:sz w:val="32"/>
                <w:szCs w:val="32"/>
              </w:rPr>
            </w:pPr>
            <w:r>
              <w:rPr>
                <w:rFonts w:hint="eastAsia" w:ascii="仿宋_GB2312" w:hAnsi="Times New Roman" w:eastAsia="仿宋_GB2312"/>
                <w:b/>
                <w:sz w:val="32"/>
                <w:szCs w:val="32"/>
              </w:rPr>
              <w:t>经费保障形式</w:t>
            </w:r>
          </w:p>
        </w:tc>
      </w:tr>
      <w:tr w14:paraId="147C0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tcBorders>
              <w:top w:val="single" w:color="000000" w:sz="6" w:space="0"/>
              <w:left w:val="single" w:color="000000" w:sz="6" w:space="0"/>
              <w:bottom w:val="single" w:color="000000" w:sz="6" w:space="0"/>
              <w:right w:val="single" w:color="000000" w:sz="6" w:space="0"/>
            </w:tcBorders>
            <w:noWrap w:val="0"/>
            <w:vAlign w:val="center"/>
          </w:tcPr>
          <w:p w14:paraId="749F4B0A">
            <w:pPr>
              <w:spacing w:line="300" w:lineRule="exact"/>
              <w:jc w:val="left"/>
              <w:rPr>
                <w:rFonts w:ascii="仿宋_GB2312" w:hAnsi="Times New Roman" w:eastAsia="仿宋_GB2312"/>
                <w:sz w:val="32"/>
                <w:szCs w:val="32"/>
              </w:rPr>
            </w:pPr>
            <w:r>
              <w:rPr>
                <w:rFonts w:hint="eastAsia" w:ascii="仿宋_GB2312" w:hAnsi="Times New Roman" w:eastAsia="仿宋_GB2312"/>
                <w:sz w:val="32"/>
                <w:szCs w:val="32"/>
              </w:rPr>
              <w:t>中共承德市鹰手营子矿区委区直机关工委</w:t>
            </w:r>
          </w:p>
        </w:tc>
        <w:tc>
          <w:tcPr>
            <w:tcW w:w="1134" w:type="dxa"/>
            <w:tcBorders>
              <w:top w:val="single" w:color="000000" w:sz="6" w:space="0"/>
              <w:left w:val="single" w:color="000000" w:sz="6" w:space="0"/>
              <w:bottom w:val="single" w:color="000000" w:sz="6" w:space="0"/>
              <w:right w:val="single" w:color="000000" w:sz="6" w:space="0"/>
            </w:tcBorders>
            <w:noWrap w:val="0"/>
            <w:vAlign w:val="center"/>
          </w:tcPr>
          <w:p w14:paraId="5F296613">
            <w:pPr>
              <w:spacing w:line="300" w:lineRule="exact"/>
              <w:jc w:val="center"/>
              <w:rPr>
                <w:rFonts w:ascii="仿宋_GB2312" w:hAnsi="Times New Roman" w:eastAsia="仿宋_GB2312"/>
                <w:sz w:val="32"/>
                <w:szCs w:val="32"/>
              </w:rPr>
            </w:pPr>
            <w:r>
              <w:rPr>
                <w:rFonts w:hint="eastAsia" w:ascii="仿宋_GB2312" w:hAnsi="Times New Roman" w:eastAsia="仿宋_GB2312"/>
                <w:sz w:val="32"/>
                <w:szCs w:val="32"/>
              </w:rPr>
              <w:t>行政</w:t>
            </w:r>
          </w:p>
        </w:tc>
        <w:tc>
          <w:tcPr>
            <w:tcW w:w="1276" w:type="dxa"/>
            <w:tcBorders>
              <w:top w:val="single" w:color="000000" w:sz="6" w:space="0"/>
              <w:left w:val="single" w:color="000000" w:sz="6" w:space="0"/>
              <w:bottom w:val="single" w:color="000000" w:sz="6" w:space="0"/>
              <w:right w:val="single" w:color="000000" w:sz="6" w:space="0"/>
            </w:tcBorders>
            <w:noWrap w:val="0"/>
            <w:vAlign w:val="center"/>
          </w:tcPr>
          <w:p w14:paraId="60AD44E4">
            <w:pPr>
              <w:spacing w:line="300" w:lineRule="exact"/>
              <w:jc w:val="center"/>
              <w:rPr>
                <w:rFonts w:ascii="仿宋_GB2312" w:hAnsi="Times New Roman" w:eastAsia="仿宋_GB2312"/>
                <w:sz w:val="32"/>
                <w:szCs w:val="32"/>
              </w:rPr>
            </w:pPr>
            <w:r>
              <w:rPr>
                <w:rFonts w:hint="eastAsia" w:ascii="仿宋_GB2312" w:hAnsi="Times New Roman" w:eastAsia="仿宋_GB2312"/>
                <w:sz w:val="32"/>
                <w:szCs w:val="32"/>
              </w:rPr>
              <w:t>科级</w:t>
            </w:r>
          </w:p>
        </w:tc>
        <w:tc>
          <w:tcPr>
            <w:tcW w:w="2902" w:type="dxa"/>
            <w:tcBorders>
              <w:top w:val="single" w:color="000000" w:sz="6" w:space="0"/>
              <w:left w:val="single" w:color="000000" w:sz="6" w:space="0"/>
              <w:bottom w:val="single" w:color="000000" w:sz="6" w:space="0"/>
              <w:right w:val="single" w:color="000000" w:sz="6" w:space="0"/>
            </w:tcBorders>
            <w:noWrap w:val="0"/>
            <w:vAlign w:val="center"/>
          </w:tcPr>
          <w:p w14:paraId="19F7C962">
            <w:pPr>
              <w:spacing w:line="300" w:lineRule="exact"/>
              <w:jc w:val="center"/>
              <w:rPr>
                <w:rFonts w:ascii="仿宋_GB2312" w:hAnsi="Times New Roman" w:eastAsia="仿宋_GB2312"/>
                <w:sz w:val="32"/>
                <w:szCs w:val="32"/>
              </w:rPr>
            </w:pPr>
            <w:r>
              <w:rPr>
                <w:rFonts w:hint="eastAsia" w:ascii="仿宋_GB2312" w:hAnsi="Times New Roman" w:eastAsia="仿宋_GB2312"/>
                <w:sz w:val="32"/>
                <w:szCs w:val="32"/>
              </w:rPr>
              <w:t>财政性资金基本保证</w:t>
            </w:r>
          </w:p>
        </w:tc>
      </w:tr>
    </w:tbl>
    <w:p w14:paraId="3D33118E">
      <w:pPr>
        <w:rPr>
          <w:rFonts w:hint="eastAsia" w:ascii="仿宋_GB2312" w:hAnsi="仿宋" w:eastAsia="仿宋_GB2312"/>
          <w:sz w:val="32"/>
          <w:szCs w:val="32"/>
        </w:rPr>
      </w:pPr>
      <w:r>
        <w:rPr>
          <w:rFonts w:hint="eastAsia" w:ascii="仿宋_GB2312" w:hAnsi="仿宋" w:eastAsia="仿宋_GB2312" w:cs="宋体"/>
          <w:b/>
          <w:sz w:val="32"/>
          <w:szCs w:val="32"/>
        </w:rPr>
        <w:t>1.3预算单位构成情况。</w:t>
      </w:r>
    </w:p>
    <w:p w14:paraId="76E5E5FF">
      <w:pPr>
        <w:ind w:firstLine="640"/>
        <w:rPr>
          <w:rFonts w:hint="eastAsia" w:ascii="仿宋_GB2312" w:hAnsi="仿宋" w:eastAsia="仿宋_GB2312"/>
          <w:sz w:val="32"/>
          <w:szCs w:val="32"/>
        </w:rPr>
      </w:pPr>
      <w:r>
        <w:rPr>
          <w:rFonts w:hint="eastAsia" w:ascii="仿宋_GB2312" w:hAnsi="仿宋" w:eastAsia="仿宋_GB2312"/>
          <w:sz w:val="32"/>
          <w:szCs w:val="32"/>
        </w:rPr>
        <w:t>我单位为一级预算单位，预算数据单独报送，不含下属单位。</w:t>
      </w:r>
    </w:p>
    <w:p w14:paraId="46749770">
      <w:pPr>
        <w:ind w:firstLine="640"/>
        <w:rPr>
          <w:rFonts w:hint="eastAsia" w:ascii="仿宋_GB2312" w:hAnsi="Times New Roman" w:eastAsia="仿宋_GB2312"/>
          <w:sz w:val="32"/>
          <w:szCs w:val="32"/>
        </w:rPr>
      </w:pPr>
      <w:r>
        <w:rPr>
          <w:rFonts w:hint="eastAsia" w:ascii="仿宋_GB2312" w:hAnsi="Times New Roman" w:eastAsia="仿宋_GB2312"/>
          <w:sz w:val="32"/>
          <w:szCs w:val="32"/>
        </w:rPr>
        <w:t>二、部门预算安排的总体情况</w:t>
      </w:r>
    </w:p>
    <w:p w14:paraId="16B86B8A">
      <w:pPr>
        <w:ind w:firstLine="640"/>
        <w:rPr>
          <w:rFonts w:hint="eastAsia" w:ascii="仿宋_GB2312" w:hAnsi="Times New Roman" w:eastAsia="仿宋_GB2312"/>
          <w:sz w:val="32"/>
          <w:szCs w:val="32"/>
        </w:rPr>
      </w:pPr>
      <w:r>
        <w:rPr>
          <w:rFonts w:hint="eastAsia" w:ascii="仿宋_GB2312" w:hAnsi="Times New Roman" w:eastAsia="仿宋_GB2312"/>
          <w:sz w:val="32"/>
          <w:szCs w:val="32"/>
        </w:rPr>
        <w:t>按照预算管理有关规定，目前我区部门预算的编制实行综合预算制度，即全部收入和支出都反映在预算中。中共承德市鹰手营子矿区委区直机关工委的收支包含在部门预算中。</w:t>
      </w:r>
    </w:p>
    <w:p w14:paraId="19EBA7A3">
      <w:pPr>
        <w:ind w:firstLine="640"/>
        <w:rPr>
          <w:rFonts w:hint="eastAsia" w:ascii="仿宋_GB2312" w:hAnsi="Times New Roman" w:eastAsia="仿宋_GB2312"/>
          <w:sz w:val="32"/>
          <w:szCs w:val="32"/>
        </w:rPr>
      </w:pPr>
      <w:r>
        <w:rPr>
          <w:rFonts w:hint="eastAsia" w:ascii="仿宋_GB2312" w:hAnsi="Times New Roman" w:eastAsia="仿宋_GB2312"/>
          <w:sz w:val="32"/>
          <w:szCs w:val="32"/>
        </w:rPr>
        <w:t>1、收入说明</w:t>
      </w:r>
    </w:p>
    <w:p w14:paraId="1DCFD31A">
      <w:pPr>
        <w:ind w:firstLine="640"/>
        <w:rPr>
          <w:rFonts w:hint="eastAsia" w:ascii="仿宋_GB2312" w:hAnsi="Times New Roman" w:eastAsia="仿宋_GB2312"/>
          <w:sz w:val="32"/>
          <w:szCs w:val="32"/>
        </w:rPr>
      </w:pPr>
      <w:r>
        <w:rPr>
          <w:rFonts w:hint="eastAsia" w:ascii="仿宋_GB2312" w:hAnsi="Times New Roman" w:eastAsia="仿宋_GB2312"/>
          <w:sz w:val="32"/>
          <w:szCs w:val="32"/>
        </w:rPr>
        <w:t>反映本部门当年全部收入。2018年预算收入50.97万元，其中：一般公共预算收入50.97万元，基金预算收入0.00万元，其他来源收入0.00万元。</w:t>
      </w:r>
    </w:p>
    <w:p w14:paraId="29DF6EB3">
      <w:pPr>
        <w:ind w:firstLine="640"/>
        <w:rPr>
          <w:rFonts w:hint="eastAsia" w:ascii="仿宋_GB2312" w:hAnsi="Times New Roman" w:eastAsia="仿宋_GB2312"/>
          <w:sz w:val="32"/>
          <w:szCs w:val="32"/>
        </w:rPr>
      </w:pPr>
      <w:r>
        <w:rPr>
          <w:rFonts w:hint="eastAsia" w:ascii="仿宋_GB2312" w:hAnsi="Times New Roman" w:eastAsia="仿宋_GB2312"/>
          <w:sz w:val="32"/>
          <w:szCs w:val="32"/>
        </w:rPr>
        <w:t>2、支出说明</w:t>
      </w:r>
    </w:p>
    <w:p w14:paraId="174FB235">
      <w:pPr>
        <w:ind w:firstLine="640"/>
        <w:rPr>
          <w:rFonts w:hint="eastAsia" w:ascii="仿宋_GB2312" w:hAnsi="Times New Roman" w:eastAsia="仿宋_GB2312"/>
          <w:sz w:val="32"/>
          <w:szCs w:val="32"/>
        </w:rPr>
      </w:pPr>
      <w:r>
        <w:rPr>
          <w:rFonts w:hint="eastAsia" w:ascii="仿宋_GB2312" w:hAnsi="Times New Roman" w:eastAsia="仿宋_GB2312"/>
          <w:sz w:val="32"/>
          <w:szCs w:val="32"/>
        </w:rPr>
        <w:t>收支预算总表支出栏、基本支出表、项目支出表按经济分类和支出功能分类科目编制，反映中共承德市鹰手营子矿区委区直机关工委年度部门预算中支出预算的总体情况。2018年支出预算50.97万元，其中基本支出50.97万元，包括人员经费47.65万元和日常公用经费3.32万元；项目支出0万元，其中本级支出0.00万元，对下补助0万元；其他支出0.00万元。</w:t>
      </w:r>
    </w:p>
    <w:p w14:paraId="4EB5A65D">
      <w:pPr>
        <w:ind w:firstLine="640"/>
        <w:rPr>
          <w:rFonts w:hint="eastAsia" w:ascii="仿宋_GB2312" w:hAnsi="Times New Roman" w:eastAsia="仿宋_GB2312"/>
          <w:sz w:val="32"/>
          <w:szCs w:val="32"/>
        </w:rPr>
      </w:pPr>
      <w:r>
        <w:rPr>
          <w:rFonts w:hint="eastAsia" w:ascii="仿宋_GB2312" w:hAnsi="Times New Roman" w:eastAsia="仿宋_GB2312"/>
          <w:sz w:val="32"/>
          <w:szCs w:val="32"/>
        </w:rPr>
        <w:t>3、比上年增减情况</w:t>
      </w:r>
    </w:p>
    <w:p w14:paraId="7B8F68BA">
      <w:pPr>
        <w:ind w:firstLine="640"/>
        <w:rPr>
          <w:rFonts w:hint="eastAsia" w:ascii="仿宋_GB2312" w:hAnsi="Times New Roman" w:eastAsia="仿宋_GB2312"/>
          <w:sz w:val="32"/>
          <w:szCs w:val="32"/>
        </w:rPr>
      </w:pPr>
      <w:r>
        <w:rPr>
          <w:rFonts w:hint="eastAsia" w:ascii="仿宋_GB2312" w:hAnsi="Times New Roman" w:eastAsia="仿宋_GB2312"/>
          <w:sz w:val="32"/>
          <w:szCs w:val="32"/>
        </w:rPr>
        <w:t>2018年预算收支安排50.97万元，较2017年预算增加4.33万元，主要因为增长工资。</w:t>
      </w:r>
    </w:p>
    <w:p w14:paraId="23636E60">
      <w:pPr>
        <w:ind w:left="198" w:firstLine="640"/>
        <w:jc w:val="left"/>
        <w:rPr>
          <w:rFonts w:hint="eastAsia" w:ascii="仿宋_GB2312" w:hAnsi="Times New Roman" w:eastAsia="仿宋_GB2312"/>
          <w:sz w:val="32"/>
          <w:szCs w:val="32"/>
        </w:rPr>
      </w:pPr>
      <w:r>
        <w:rPr>
          <w:rFonts w:hint="eastAsia" w:ascii="仿宋_GB2312" w:hAnsi="Times New Roman" w:eastAsia="仿宋_GB2312"/>
          <w:sz w:val="32"/>
          <w:szCs w:val="32"/>
        </w:rPr>
        <w:t>三、机关运行经费安排情况</w:t>
      </w:r>
    </w:p>
    <w:p w14:paraId="488F29CE">
      <w:pPr>
        <w:tabs>
          <w:tab w:val="left" w:pos="11490"/>
        </w:tabs>
        <w:ind w:firstLine="640"/>
        <w:rPr>
          <w:rFonts w:hint="eastAsia" w:ascii="仿宋_GB2312" w:hAnsi="Times New Roman" w:eastAsia="仿宋_GB2312"/>
          <w:sz w:val="32"/>
          <w:szCs w:val="32"/>
        </w:rPr>
      </w:pPr>
      <w:r>
        <w:rPr>
          <w:rFonts w:hint="eastAsia" w:ascii="仿宋_GB2312" w:hAnsi="Times New Roman" w:eastAsia="仿宋_GB2312"/>
          <w:sz w:val="32"/>
          <w:szCs w:val="32"/>
        </w:rPr>
        <w:t>2018年，我单位机关运行经费共计安排3.32万元，主要用于办公费、印刷费、邮电费、取暖费、差旅费、工会经费、福利费等。</w:t>
      </w:r>
    </w:p>
    <w:p w14:paraId="2AEEE4EE">
      <w:pPr>
        <w:ind w:left="198" w:firstLine="640"/>
        <w:jc w:val="left"/>
        <w:rPr>
          <w:rFonts w:hint="eastAsia" w:ascii="仿宋_GB2312" w:hAnsi="Times New Roman" w:eastAsia="仿宋_GB2312"/>
          <w:sz w:val="32"/>
          <w:szCs w:val="32"/>
        </w:rPr>
      </w:pPr>
      <w:r>
        <w:rPr>
          <w:rFonts w:hint="eastAsia" w:ascii="仿宋_GB2312" w:hAnsi="Times New Roman" w:eastAsia="仿宋_GB2312"/>
          <w:sz w:val="32"/>
          <w:szCs w:val="32"/>
        </w:rPr>
        <w:t>四、财政拨款“三公”经费预算情况及增减变化原因</w:t>
      </w:r>
    </w:p>
    <w:p w14:paraId="5D33FBF5">
      <w:pPr>
        <w:spacing w:line="560" w:lineRule="exact"/>
        <w:ind w:firstLine="640"/>
        <w:rPr>
          <w:rFonts w:hint="eastAsia" w:ascii="仿宋_GB2312" w:hAnsi="仿宋" w:eastAsia="仿宋_GB2312"/>
          <w:b/>
          <w:sz w:val="32"/>
          <w:szCs w:val="32"/>
        </w:rPr>
      </w:pPr>
      <w:r>
        <w:rPr>
          <w:rFonts w:hint="eastAsia" w:ascii="仿宋_GB2312" w:hAnsi="仿宋" w:eastAsia="仿宋_GB2312"/>
          <w:sz w:val="32"/>
          <w:szCs w:val="32"/>
        </w:rPr>
        <w:t xml:space="preserve">2018区直机关工委“三公”经费公共预算财政拨款决算支出 </w:t>
      </w:r>
      <w:r>
        <w:rPr>
          <w:rFonts w:hint="eastAsia" w:ascii="仿宋_GB2312" w:hAnsi="仿宋" w:eastAsia="仿宋_GB2312" w:cs="宋体"/>
          <w:sz w:val="32"/>
          <w:szCs w:val="32"/>
          <w:u w:val="single"/>
        </w:rPr>
        <w:t>0</w:t>
      </w:r>
      <w:r>
        <w:rPr>
          <w:rFonts w:hint="eastAsia" w:ascii="仿宋_GB2312" w:hAnsi="仿宋" w:eastAsia="仿宋_GB2312"/>
          <w:sz w:val="32"/>
          <w:szCs w:val="32"/>
        </w:rPr>
        <w:t>万元，比上年减少</w:t>
      </w:r>
      <w:r>
        <w:rPr>
          <w:rFonts w:hint="eastAsia" w:ascii="仿宋_GB2312" w:hAnsi="仿宋" w:eastAsia="仿宋_GB2312"/>
          <w:sz w:val="32"/>
          <w:szCs w:val="32"/>
          <w:u w:val="single"/>
        </w:rPr>
        <w:t xml:space="preserve"> 0</w:t>
      </w:r>
      <w:r>
        <w:rPr>
          <w:rFonts w:hint="eastAsia" w:ascii="仿宋_GB2312" w:hAnsi="仿宋" w:eastAsia="仿宋_GB2312"/>
          <w:sz w:val="32"/>
          <w:szCs w:val="32"/>
        </w:rPr>
        <w:t>万元，同比</w:t>
      </w:r>
      <w:r>
        <w:rPr>
          <w:rFonts w:hint="eastAsia" w:ascii="仿宋_GB2312" w:hAnsi="仿宋" w:eastAsia="仿宋_GB2312"/>
          <w:sz w:val="32"/>
          <w:szCs w:val="32"/>
          <w:u w:val="single"/>
        </w:rPr>
        <w:t>无变化</w:t>
      </w:r>
      <w:r>
        <w:rPr>
          <w:rFonts w:hint="eastAsia" w:ascii="仿宋_GB2312" w:hAnsi="仿宋" w:eastAsia="仿宋_GB2312"/>
          <w:sz w:val="32"/>
          <w:szCs w:val="32"/>
        </w:rPr>
        <w:t>。具体支出情况如下：（一）公务用车购置及运行维护费支出</w:t>
      </w:r>
      <w:r>
        <w:rPr>
          <w:rFonts w:hint="eastAsia" w:ascii="仿宋_GB2312" w:hAnsi="仿宋" w:eastAsia="仿宋_GB2312"/>
          <w:sz w:val="32"/>
          <w:szCs w:val="32"/>
          <w:u w:val="single"/>
        </w:rPr>
        <w:t xml:space="preserve">  0 </w:t>
      </w:r>
      <w:r>
        <w:rPr>
          <w:rFonts w:hint="eastAsia" w:ascii="仿宋_GB2312" w:hAnsi="仿宋" w:eastAsia="仿宋_GB2312"/>
          <w:sz w:val="32"/>
          <w:szCs w:val="32"/>
        </w:rPr>
        <w:t>万元，同比无增减，同比</w:t>
      </w:r>
      <w:r>
        <w:rPr>
          <w:rFonts w:hint="eastAsia" w:ascii="仿宋_GB2312" w:hAnsi="仿宋" w:eastAsia="仿宋_GB2312"/>
          <w:sz w:val="32"/>
          <w:szCs w:val="32"/>
          <w:u w:val="single"/>
        </w:rPr>
        <w:t>无变化</w:t>
      </w:r>
      <w:r>
        <w:rPr>
          <w:rFonts w:hint="eastAsia" w:ascii="仿宋_GB2312" w:hAnsi="仿宋" w:eastAsia="仿宋_GB2312"/>
          <w:sz w:val="32"/>
          <w:szCs w:val="32"/>
        </w:rPr>
        <w:t>。①公务用车购置支出</w:t>
      </w:r>
      <w:r>
        <w:rPr>
          <w:rFonts w:hint="eastAsia" w:ascii="仿宋_GB2312" w:hAnsi="仿宋" w:eastAsia="仿宋_GB2312"/>
          <w:sz w:val="32"/>
          <w:szCs w:val="32"/>
          <w:u w:val="single"/>
        </w:rPr>
        <w:t>0</w:t>
      </w:r>
      <w:r>
        <w:rPr>
          <w:rFonts w:hint="eastAsia" w:ascii="仿宋_GB2312" w:hAnsi="仿宋" w:eastAsia="仿宋_GB2312"/>
          <w:sz w:val="32"/>
          <w:szCs w:val="32"/>
        </w:rPr>
        <w:t>万元，同比</w:t>
      </w:r>
      <w:r>
        <w:rPr>
          <w:rFonts w:hint="eastAsia" w:ascii="仿宋_GB2312" w:hAnsi="仿宋" w:eastAsia="仿宋_GB2312"/>
          <w:sz w:val="32"/>
          <w:szCs w:val="32"/>
          <w:u w:val="single"/>
        </w:rPr>
        <w:t>无变化</w:t>
      </w:r>
      <w:r>
        <w:rPr>
          <w:rFonts w:hint="eastAsia" w:ascii="仿宋_GB2312" w:hAnsi="仿宋" w:eastAsia="仿宋_GB2312"/>
          <w:sz w:val="32"/>
          <w:szCs w:val="32"/>
        </w:rPr>
        <w:t>。②公务用车运行维护费支出</w:t>
      </w:r>
      <w:r>
        <w:rPr>
          <w:rFonts w:hint="eastAsia" w:ascii="仿宋_GB2312" w:hAnsi="仿宋" w:eastAsia="仿宋_GB2312"/>
          <w:sz w:val="32"/>
          <w:szCs w:val="32"/>
          <w:u w:val="single"/>
        </w:rPr>
        <w:t xml:space="preserve"> 0</w:t>
      </w:r>
      <w:r>
        <w:rPr>
          <w:rFonts w:hint="eastAsia" w:ascii="仿宋_GB2312" w:hAnsi="仿宋" w:eastAsia="仿宋_GB2312"/>
          <w:sz w:val="32"/>
          <w:szCs w:val="32"/>
        </w:rPr>
        <w:t>万元，同比</w:t>
      </w:r>
      <w:r>
        <w:rPr>
          <w:rFonts w:hint="eastAsia" w:ascii="仿宋_GB2312" w:hAnsi="仿宋" w:eastAsia="仿宋_GB2312"/>
          <w:sz w:val="32"/>
          <w:szCs w:val="32"/>
          <w:u w:val="single"/>
        </w:rPr>
        <w:t>无变化</w:t>
      </w:r>
      <w:r>
        <w:rPr>
          <w:rFonts w:hint="eastAsia" w:ascii="仿宋_GB2312" w:hAnsi="仿宋" w:eastAsia="仿宋_GB2312"/>
          <w:sz w:val="32"/>
          <w:szCs w:val="32"/>
        </w:rPr>
        <w:t>。（二）公务接待费支出</w:t>
      </w:r>
      <w:r>
        <w:rPr>
          <w:rFonts w:hint="eastAsia" w:ascii="仿宋_GB2312" w:hAnsi="仿宋" w:eastAsia="仿宋_GB2312"/>
          <w:sz w:val="32"/>
          <w:szCs w:val="32"/>
          <w:u w:val="single"/>
        </w:rPr>
        <w:t>0</w:t>
      </w:r>
      <w:r>
        <w:rPr>
          <w:rFonts w:hint="eastAsia" w:ascii="仿宋_GB2312" w:hAnsi="仿宋" w:eastAsia="仿宋_GB2312"/>
          <w:sz w:val="32"/>
          <w:szCs w:val="32"/>
        </w:rPr>
        <w:t>万元，同比</w:t>
      </w:r>
      <w:r>
        <w:rPr>
          <w:rFonts w:hint="eastAsia" w:ascii="仿宋_GB2312" w:hAnsi="仿宋" w:eastAsia="仿宋_GB2312"/>
          <w:sz w:val="32"/>
          <w:szCs w:val="32"/>
          <w:u w:val="single"/>
        </w:rPr>
        <w:t>无变化</w:t>
      </w:r>
      <w:r>
        <w:rPr>
          <w:rFonts w:hint="eastAsia" w:ascii="仿宋_GB2312" w:hAnsi="仿宋" w:eastAsia="仿宋_GB2312"/>
          <w:sz w:val="32"/>
          <w:szCs w:val="32"/>
        </w:rPr>
        <w:t>。（三）因公出国（境）费支出</w:t>
      </w:r>
      <w:r>
        <w:rPr>
          <w:rFonts w:hint="eastAsia" w:ascii="仿宋_GB2312" w:hAnsi="仿宋" w:eastAsia="仿宋_GB2312"/>
          <w:sz w:val="32"/>
          <w:szCs w:val="32"/>
          <w:u w:val="single"/>
        </w:rPr>
        <w:t xml:space="preserve">  0 </w:t>
      </w:r>
      <w:r>
        <w:rPr>
          <w:rFonts w:hint="eastAsia" w:ascii="仿宋_GB2312" w:hAnsi="仿宋" w:eastAsia="仿宋_GB2312"/>
          <w:sz w:val="32"/>
          <w:szCs w:val="32"/>
        </w:rPr>
        <w:t>万元，同比</w:t>
      </w:r>
      <w:r>
        <w:rPr>
          <w:rFonts w:hint="eastAsia" w:ascii="仿宋_GB2312" w:hAnsi="仿宋" w:eastAsia="仿宋_GB2312"/>
          <w:sz w:val="32"/>
          <w:szCs w:val="32"/>
          <w:u w:val="single"/>
        </w:rPr>
        <w:t>无变化</w:t>
      </w:r>
      <w:r>
        <w:rPr>
          <w:rFonts w:hint="eastAsia" w:ascii="仿宋_GB2312" w:hAnsi="仿宋" w:eastAsia="仿宋_GB2312"/>
          <w:sz w:val="32"/>
          <w:szCs w:val="32"/>
        </w:rPr>
        <w:t>。</w:t>
      </w:r>
      <w:r>
        <w:rPr>
          <w:rFonts w:hint="eastAsia" w:ascii="仿宋_GB2312" w:hAnsi="仿宋" w:eastAsia="仿宋_GB2312"/>
          <w:b/>
          <w:sz w:val="32"/>
          <w:szCs w:val="32"/>
        </w:rPr>
        <w:t xml:space="preserve">我单位三公经费变动主要原因分别是：  </w:t>
      </w:r>
      <w:r>
        <w:rPr>
          <w:rFonts w:hint="eastAsia" w:ascii="仿宋_GB2312" w:hAnsi="仿宋" w:eastAsia="仿宋_GB2312"/>
          <w:sz w:val="32"/>
          <w:szCs w:val="32"/>
          <w:u w:val="single"/>
        </w:rPr>
        <w:t xml:space="preserve"> 本年无预算。</w:t>
      </w:r>
    </w:p>
    <w:p w14:paraId="76429596">
      <w:pPr>
        <w:ind w:firstLine="640"/>
        <w:rPr>
          <w:rFonts w:hint="eastAsia" w:ascii="仿宋_GB2312" w:hAnsi="Times New Roman" w:eastAsia="仿宋_GB2312"/>
          <w:sz w:val="32"/>
          <w:szCs w:val="32"/>
        </w:rPr>
      </w:pPr>
      <w:r>
        <w:rPr>
          <w:rFonts w:hint="eastAsia" w:ascii="仿宋_GB2312" w:hAnsi="Times New Roman" w:eastAsia="仿宋_GB2312"/>
          <w:sz w:val="32"/>
          <w:szCs w:val="32"/>
        </w:rPr>
        <w:t>五、绩效预算信息</w:t>
      </w:r>
    </w:p>
    <w:p w14:paraId="36E2E6CF">
      <w:pPr>
        <w:ind w:firstLine="643"/>
        <w:jc w:val="left"/>
        <w:rPr>
          <w:rFonts w:hint="eastAsia" w:ascii="仿宋_GB2312" w:hAnsi="Times New Roman" w:eastAsia="仿宋_GB2312"/>
          <w:b/>
          <w:sz w:val="32"/>
          <w:szCs w:val="32"/>
        </w:rPr>
      </w:pPr>
      <w:bookmarkStart w:id="0" w:name="_Toc471398463"/>
      <w:r>
        <w:rPr>
          <w:rFonts w:hint="eastAsia" w:ascii="仿宋_GB2312" w:hAnsi="Times New Roman" w:eastAsia="仿宋_GB2312"/>
          <w:b/>
          <w:sz w:val="32"/>
          <w:szCs w:val="32"/>
        </w:rPr>
        <w:t>总体绩效目标：</w:t>
      </w:r>
    </w:p>
    <w:p w14:paraId="19FBAE66">
      <w:pPr>
        <w:spacing w:line="560" w:lineRule="exact"/>
        <w:ind w:firstLine="752"/>
        <w:rPr>
          <w:rFonts w:hint="eastAsia" w:ascii="仿宋_GB2312" w:hAnsi="仿宋" w:eastAsia="仿宋_GB2312"/>
          <w:sz w:val="32"/>
          <w:szCs w:val="32"/>
        </w:rPr>
      </w:pPr>
      <w:r>
        <w:rPr>
          <w:rFonts w:hint="eastAsia" w:ascii="仿宋_GB2312" w:hAnsi="仿宋" w:eastAsia="仿宋_GB2312"/>
          <w:sz w:val="32"/>
          <w:szCs w:val="32"/>
        </w:rPr>
        <w:t>2018年,以习近平新时代中国特色社会主义思想为指导，认真贯彻党的十九大、省委九届六次全会、市委十四届三次全会决策部署，全面落实新时代党的建设总要求，以党的政治建设为统领，以抓落实、强服务为主基调，扎实开展“不忘初心、牢记使命”主题教育。不断提高机关党的建设质量，为新时代全面建设“四个鹰城”提供坚强保障。</w:t>
      </w:r>
    </w:p>
    <w:p w14:paraId="605CAE3F">
      <w:pPr>
        <w:spacing w:line="560" w:lineRule="exact"/>
        <w:ind w:firstLine="752"/>
        <w:rPr>
          <w:rFonts w:hint="eastAsia" w:ascii="仿宋_GB2312" w:hAnsi="仿宋" w:eastAsia="仿宋_GB2312"/>
          <w:sz w:val="32"/>
          <w:szCs w:val="32"/>
        </w:rPr>
      </w:pPr>
      <w:r>
        <w:rPr>
          <w:rFonts w:hint="eastAsia" w:ascii="仿宋_GB2312" w:hAnsi="仿宋" w:eastAsia="仿宋_GB2312"/>
          <w:sz w:val="32"/>
          <w:szCs w:val="32"/>
        </w:rPr>
        <w:t>一、把政治建设摆在首要位置。按照</w:t>
      </w:r>
      <w:r>
        <w:rPr>
          <w:rFonts w:hint="eastAsia" w:ascii="仿宋_GB2312" w:hAnsi="仿宋" w:eastAsia="仿宋_GB2312"/>
          <w:sz w:val="32"/>
          <w:szCs w:val="32"/>
          <w:lang w:val="en-US" w:eastAsia="zh-CN"/>
        </w:rPr>
        <w:t>中国共产党章程</w:t>
      </w:r>
      <w:r>
        <w:rPr>
          <w:rFonts w:hint="eastAsia" w:ascii="仿宋_GB2312" w:hAnsi="仿宋" w:eastAsia="仿宋_GB2312"/>
          <w:sz w:val="32"/>
          <w:szCs w:val="32"/>
        </w:rPr>
        <w:t>规定和要求，内化于心，外化于形，强化《</w:t>
      </w:r>
      <w:r>
        <w:rPr>
          <w:rFonts w:hint="eastAsia" w:ascii="仿宋_GB2312" w:hAnsi="仿宋" w:eastAsia="仿宋_GB2312"/>
          <w:sz w:val="32"/>
          <w:szCs w:val="32"/>
          <w:lang w:val="en-US" w:eastAsia="zh-CN"/>
        </w:rPr>
        <w:t>中国共产</w:t>
      </w:r>
      <w:r>
        <w:rPr>
          <w:rFonts w:hint="eastAsia" w:ascii="仿宋_GB2312" w:hAnsi="仿宋" w:eastAsia="仿宋_GB2312"/>
          <w:sz w:val="32"/>
          <w:szCs w:val="32"/>
        </w:rPr>
        <w:t>党章</w:t>
      </w:r>
      <w:r>
        <w:rPr>
          <w:rFonts w:hint="eastAsia" w:ascii="仿宋_GB2312" w:hAnsi="仿宋" w:eastAsia="仿宋_GB2312"/>
          <w:sz w:val="32"/>
          <w:szCs w:val="32"/>
          <w:lang w:val="en-US" w:eastAsia="zh-CN"/>
        </w:rPr>
        <w:t>程</w:t>
      </w:r>
      <w:r>
        <w:rPr>
          <w:rFonts w:hint="eastAsia" w:ascii="仿宋_GB2312" w:hAnsi="仿宋" w:eastAsia="仿宋_GB2312"/>
          <w:sz w:val="32"/>
          <w:szCs w:val="32"/>
        </w:rPr>
        <w:t>》学习，尊崇《</w:t>
      </w:r>
      <w:r>
        <w:rPr>
          <w:rFonts w:hint="eastAsia" w:ascii="仿宋_GB2312" w:hAnsi="仿宋" w:eastAsia="仿宋_GB2312"/>
          <w:sz w:val="32"/>
          <w:szCs w:val="32"/>
          <w:lang w:val="en-US" w:eastAsia="zh-CN"/>
        </w:rPr>
        <w:t>中国共产</w:t>
      </w:r>
      <w:r>
        <w:rPr>
          <w:rFonts w:hint="eastAsia" w:ascii="仿宋_GB2312" w:hAnsi="仿宋" w:eastAsia="仿宋_GB2312"/>
          <w:sz w:val="32"/>
          <w:szCs w:val="32"/>
        </w:rPr>
        <w:t>党章</w:t>
      </w:r>
      <w:r>
        <w:rPr>
          <w:rFonts w:hint="eastAsia" w:ascii="仿宋_GB2312" w:hAnsi="仿宋" w:eastAsia="仿宋_GB2312"/>
          <w:sz w:val="32"/>
          <w:szCs w:val="32"/>
          <w:lang w:val="en-US" w:eastAsia="zh-CN"/>
        </w:rPr>
        <w:t>程</w:t>
      </w:r>
      <w:r>
        <w:rPr>
          <w:rFonts w:hint="eastAsia" w:ascii="仿宋_GB2312" w:hAnsi="仿宋" w:eastAsia="仿宋_GB2312"/>
          <w:sz w:val="32"/>
          <w:szCs w:val="32"/>
        </w:rPr>
        <w:t>》权威，践行《</w:t>
      </w:r>
      <w:r>
        <w:rPr>
          <w:rFonts w:hint="eastAsia" w:ascii="仿宋_GB2312" w:hAnsi="仿宋" w:eastAsia="仿宋_GB2312"/>
          <w:sz w:val="32"/>
          <w:szCs w:val="32"/>
          <w:lang w:val="en-US" w:eastAsia="zh-CN"/>
        </w:rPr>
        <w:t>中国共产</w:t>
      </w:r>
      <w:r>
        <w:rPr>
          <w:rFonts w:hint="eastAsia" w:ascii="仿宋_GB2312" w:hAnsi="仿宋" w:eastAsia="仿宋_GB2312"/>
          <w:sz w:val="32"/>
          <w:szCs w:val="32"/>
        </w:rPr>
        <w:t>党章</w:t>
      </w:r>
      <w:r>
        <w:rPr>
          <w:rFonts w:hint="eastAsia" w:ascii="仿宋_GB2312" w:hAnsi="仿宋" w:eastAsia="仿宋_GB2312"/>
          <w:sz w:val="32"/>
          <w:szCs w:val="32"/>
          <w:lang w:val="en-US" w:eastAsia="zh-CN"/>
        </w:rPr>
        <w:t>程</w:t>
      </w:r>
      <w:r>
        <w:rPr>
          <w:rFonts w:hint="eastAsia" w:ascii="仿宋_GB2312" w:hAnsi="仿宋" w:eastAsia="仿宋_GB2312"/>
          <w:sz w:val="32"/>
          <w:szCs w:val="32"/>
        </w:rPr>
        <w:t>》要求，严明党的政治纪律和政治规矩，引导机关广大党员干部牢固树立“四个意识”，坚定“四个自信”，提高政治站位，把握政治方向，站稳政治立场，自觉在思想上政治上行动上同以习近平同志为核心的党中央保持高度一致，确保中央省市区委决策部署贯彻落实。</w:t>
      </w:r>
    </w:p>
    <w:p w14:paraId="06D54C8F">
      <w:pPr>
        <w:spacing w:line="560" w:lineRule="exact"/>
        <w:ind w:firstLine="752"/>
        <w:rPr>
          <w:rFonts w:hint="eastAsia" w:ascii="仿宋_GB2312" w:hAnsi="仿宋" w:eastAsia="仿宋_GB2312"/>
          <w:sz w:val="32"/>
          <w:szCs w:val="32"/>
        </w:rPr>
      </w:pPr>
      <w:r>
        <w:rPr>
          <w:rFonts w:hint="eastAsia" w:ascii="仿宋_GB2312" w:hAnsi="仿宋" w:eastAsia="仿宋_GB2312"/>
          <w:sz w:val="32"/>
          <w:szCs w:val="32"/>
        </w:rPr>
        <w:t>二、认真学习宣传贯彻党的十九大精神。推进“两学一做”常态化制度化，抓好机关党组理论学习，把《习近平谈治国理政》第二卷和第一卷作为深入学习领会习近平新时代中国特色社会主义思想和党的十九大精神的权威读本，以自学为主，教学为辅，真正掌握</w:t>
      </w:r>
      <w:r>
        <w:rPr>
          <w:rFonts w:hint="eastAsia" w:ascii="仿宋_GB2312" w:hAnsi="仿宋" w:eastAsia="仿宋_GB2312"/>
          <w:sz w:val="32"/>
          <w:szCs w:val="32"/>
          <w:lang w:val="en-US" w:eastAsia="zh-CN"/>
        </w:rPr>
        <w:t>党的</w:t>
      </w:r>
      <w:r>
        <w:rPr>
          <w:rFonts w:hint="eastAsia" w:ascii="仿宋_GB2312" w:hAnsi="仿宋" w:eastAsia="仿宋_GB2312"/>
          <w:sz w:val="32"/>
          <w:szCs w:val="32"/>
        </w:rPr>
        <w:t>十九大精神。充分利用区委“大讲堂”引导作用，运用好各单位学习平台载体，发挥机关党支部的学习主体作用，确保区直机关党组织和党员干部全覆盖。</w:t>
      </w:r>
    </w:p>
    <w:p w14:paraId="6852F9B5">
      <w:pPr>
        <w:spacing w:line="560" w:lineRule="exact"/>
        <w:ind w:firstLine="752"/>
        <w:rPr>
          <w:rFonts w:hint="eastAsia" w:ascii="仿宋_GB2312" w:hAnsi="仿宋" w:eastAsia="仿宋_GB2312"/>
          <w:sz w:val="32"/>
          <w:szCs w:val="32"/>
        </w:rPr>
      </w:pPr>
      <w:r>
        <w:rPr>
          <w:rFonts w:hint="eastAsia" w:ascii="仿宋_GB2312" w:hAnsi="仿宋" w:eastAsia="仿宋_GB2312"/>
          <w:sz w:val="32"/>
          <w:szCs w:val="32"/>
        </w:rPr>
        <w:t>三、结合部门职能融入业务工作，开展党建服务创建活动，服务群众，凝聚人心，鼓励有条件的机关积极争创服务品牌，在全区范围内推出一批最佳项目推进、最佳服务举措、最佳制度创新，进一步营造机关党员争先创优氛围，推进“双创双服”工作，营造良好营商环境。</w:t>
      </w:r>
    </w:p>
    <w:p w14:paraId="52D14D6D">
      <w:pPr>
        <w:spacing w:line="560" w:lineRule="exact"/>
        <w:ind w:firstLine="752"/>
        <w:rPr>
          <w:rFonts w:hint="eastAsia" w:ascii="仿宋_GB2312" w:hAnsi="仿宋" w:eastAsia="仿宋_GB2312"/>
          <w:sz w:val="32"/>
          <w:szCs w:val="32"/>
        </w:rPr>
      </w:pPr>
      <w:r>
        <w:rPr>
          <w:rFonts w:hint="eastAsia" w:ascii="仿宋_GB2312" w:hAnsi="仿宋" w:eastAsia="仿宋_GB2312"/>
          <w:sz w:val="32"/>
          <w:szCs w:val="32"/>
        </w:rPr>
        <w:t>四、把政治纪律挺在最前面。严明政治纪律和政治规矩，切实把“六项纪律”转化为党员干部的日常习惯和自觉遵守。深入开展廉政教育、党规党纪教育，推进纪律教育常态化，切实树牢讲规矩守纪律意识，增强党员身份意识。利用党员活动日、集体学习日及会议培训等方式播放廉政警示片，推进纪律和规矩内化于心、外化于行。</w:t>
      </w:r>
    </w:p>
    <w:p w14:paraId="289258E3">
      <w:pPr>
        <w:spacing w:line="560" w:lineRule="exact"/>
        <w:ind w:firstLine="736"/>
        <w:rPr>
          <w:rFonts w:hint="eastAsia" w:ascii="仿宋_GB2312" w:hAnsi="仿宋" w:eastAsia="仿宋_GB2312"/>
          <w:sz w:val="32"/>
          <w:szCs w:val="32"/>
        </w:rPr>
      </w:pPr>
      <w:r>
        <w:rPr>
          <w:rFonts w:hint="eastAsia" w:ascii="仿宋_GB2312" w:hAnsi="仿宋" w:eastAsia="仿宋_GB2312"/>
          <w:sz w:val="32"/>
          <w:szCs w:val="32"/>
        </w:rPr>
        <w:t>五、强化机关党建督导机制。不断强化“抓好党建工作是本职、抓不好党建工作是失职、不抓党建工作就是渎职”的意识，把抓好党的建设作为最大政绩，切实增强抓好党建工作的主动意识、主业意识、主责意识。通过督导，落实</w:t>
      </w:r>
      <w:r>
        <w:rPr>
          <w:rFonts w:hint="eastAsia" w:ascii="仿宋_GB2312" w:hAnsi="仿宋" w:eastAsia="仿宋_GB2312"/>
          <w:sz w:val="32"/>
          <w:szCs w:val="32"/>
          <w:lang w:val="en-US" w:eastAsia="zh-CN"/>
        </w:rPr>
        <w:t>全面</w:t>
      </w:r>
      <w:r>
        <w:rPr>
          <w:rFonts w:hint="eastAsia" w:ascii="仿宋_GB2312" w:hAnsi="仿宋" w:eastAsia="仿宋_GB2312"/>
          <w:sz w:val="32"/>
          <w:szCs w:val="32"/>
        </w:rPr>
        <w:t>从严治党的职</w:t>
      </w:r>
      <w:bookmarkStart w:id="2" w:name="_GoBack"/>
      <w:bookmarkEnd w:id="2"/>
      <w:r>
        <w:rPr>
          <w:rFonts w:hint="eastAsia" w:ascii="仿宋_GB2312" w:hAnsi="仿宋" w:eastAsia="仿宋_GB2312"/>
          <w:sz w:val="32"/>
          <w:szCs w:val="32"/>
        </w:rPr>
        <w:t>责，督促党总支、支部强化明责、确责、督责、问责，构建推动责任落实的完整链条，层层传导压力，推动管党治党责任落实覆盖。</w:t>
      </w:r>
    </w:p>
    <w:p w14:paraId="7F64B7F5">
      <w:pPr>
        <w:ind w:firstLine="643"/>
        <w:jc w:val="left"/>
        <w:rPr>
          <w:rFonts w:hint="eastAsia" w:ascii="仿宋_GB2312" w:hAnsi="Times New Roman" w:eastAsia="仿宋_GB2312"/>
          <w:b/>
          <w:sz w:val="32"/>
          <w:szCs w:val="32"/>
        </w:rPr>
      </w:pPr>
      <w:r>
        <w:rPr>
          <w:rFonts w:hint="eastAsia" w:ascii="仿宋_GB2312" w:hAnsi="Times New Roman" w:eastAsia="仿宋_GB2312"/>
          <w:b/>
          <w:sz w:val="32"/>
          <w:szCs w:val="32"/>
        </w:rPr>
        <w:t>职责分类绩效目标：</w:t>
      </w:r>
    </w:p>
    <w:p w14:paraId="781D9C56">
      <w:pPr>
        <w:spacing w:line="560" w:lineRule="exact"/>
        <w:ind w:firstLine="755"/>
        <w:rPr>
          <w:rFonts w:hint="eastAsia" w:ascii="仿宋_GB2312" w:hAnsi="仿宋" w:eastAsia="仿宋_GB2312"/>
          <w:b/>
          <w:sz w:val="32"/>
          <w:szCs w:val="32"/>
        </w:rPr>
      </w:pPr>
      <w:r>
        <w:rPr>
          <w:rFonts w:hint="eastAsia" w:ascii="仿宋_GB2312" w:hAnsi="仿宋" w:eastAsia="仿宋_GB2312"/>
          <w:b/>
          <w:sz w:val="32"/>
          <w:szCs w:val="32"/>
        </w:rPr>
        <w:t>一、加强机关政治建设，履行从严治党责任</w:t>
      </w:r>
    </w:p>
    <w:p w14:paraId="58C0D442">
      <w:pPr>
        <w:spacing w:line="560" w:lineRule="exact"/>
        <w:ind w:firstLine="752"/>
        <w:rPr>
          <w:rFonts w:hint="eastAsia" w:ascii="仿宋_GB2312" w:hAnsi="仿宋" w:eastAsia="仿宋_GB2312"/>
          <w:sz w:val="32"/>
          <w:szCs w:val="32"/>
        </w:rPr>
      </w:pPr>
      <w:r>
        <w:rPr>
          <w:rFonts w:hint="eastAsia" w:ascii="仿宋_GB2312" w:hAnsi="仿宋" w:eastAsia="仿宋_GB2312"/>
          <w:sz w:val="32"/>
          <w:szCs w:val="32"/>
        </w:rPr>
        <w:t>严格规范党内政治生活。严格执行《关于新形势下党内政治生活的若干准则》，强化“三会一课”、民主生活会和民主评议党员等各项制度落实，着力解决党内生活质量不高、流于形式、难以发挥作用等问题。发展积极健康的党内政治文化，营造风清气正的良好政治生态，机关党组织要掌握党员干部特别是领导干部参加政治生活情况，了解日常政治表现，定期向上级党组织汇报。</w:t>
      </w:r>
    </w:p>
    <w:p w14:paraId="50D851F2">
      <w:pPr>
        <w:spacing w:line="560" w:lineRule="exact"/>
        <w:ind w:firstLine="752"/>
        <w:rPr>
          <w:rFonts w:hint="eastAsia" w:ascii="仿宋_GB2312" w:hAnsi="仿宋" w:eastAsia="仿宋_GB2312"/>
          <w:sz w:val="32"/>
          <w:szCs w:val="32"/>
        </w:rPr>
      </w:pPr>
      <w:r>
        <w:rPr>
          <w:rFonts w:hint="eastAsia" w:ascii="仿宋_GB2312" w:hAnsi="仿宋" w:eastAsia="仿宋_GB2312"/>
          <w:sz w:val="32"/>
          <w:szCs w:val="32"/>
        </w:rPr>
        <w:t>切实履行管党治党责任。强化党组对本单位党的建设的领导，健全党组书记负总责、分管领导分工负责、党支部具体落实的责任体系，实行领导“一岗双责”的机关党建责任体系，积极推动构建以工委为宏观领导、分类指导、总体规划、督促检查、考核评价为主，部门党组具体领导、组织落实、协同发力、直接负责机关党建工作领导格局，形成进一步加强和改善机关党建工作的领导合力。</w:t>
      </w:r>
    </w:p>
    <w:p w14:paraId="578DB410">
      <w:pPr>
        <w:spacing w:line="560" w:lineRule="exact"/>
        <w:ind w:firstLine="755"/>
        <w:rPr>
          <w:rFonts w:hint="eastAsia" w:ascii="仿宋_GB2312" w:hAnsi="仿宋" w:eastAsia="仿宋_GB2312"/>
          <w:b/>
          <w:sz w:val="32"/>
          <w:szCs w:val="32"/>
        </w:rPr>
      </w:pPr>
      <w:r>
        <w:rPr>
          <w:rFonts w:hint="eastAsia" w:ascii="仿宋_GB2312" w:hAnsi="仿宋" w:eastAsia="仿宋_GB2312"/>
          <w:b/>
          <w:sz w:val="32"/>
          <w:szCs w:val="32"/>
        </w:rPr>
        <w:t>二、加强机关思想建设，深入学习十九大精神</w:t>
      </w:r>
    </w:p>
    <w:p w14:paraId="0D2A229B">
      <w:pPr>
        <w:spacing w:line="560" w:lineRule="exact"/>
        <w:ind w:firstLine="752"/>
      </w:pPr>
      <w:r>
        <w:rPr>
          <w:rFonts w:hint="eastAsia" w:ascii="仿宋_GB2312" w:hAnsi="仿宋" w:eastAsia="仿宋_GB2312"/>
          <w:sz w:val="32"/>
          <w:szCs w:val="32"/>
        </w:rPr>
        <w:t>开展党员先锋行活动。结合全省“双创双服”活动，重新理顺机关党员志愿服务队，组织好机关党员志愿者系列服务活动，服务发展、服务民生，助推“四个鹰城建设”，打造不同品牌志愿服务队，会同街道工委组织各单位党员服务队进社区，打造机关党建与社区党建共联、共建模式，推动文明城市创建活动。</w:t>
      </w:r>
    </w:p>
    <w:p w14:paraId="34AFE736">
      <w:pPr>
        <w:spacing w:line="560" w:lineRule="exact"/>
        <w:ind w:firstLine="752"/>
        <w:rPr>
          <w:rFonts w:hint="eastAsia" w:ascii="仿宋_GB2312" w:hAnsi="仿宋" w:eastAsia="仿宋_GB2312"/>
          <w:sz w:val="32"/>
          <w:szCs w:val="32"/>
        </w:rPr>
      </w:pPr>
      <w:r>
        <w:rPr>
          <w:rFonts w:hint="eastAsia" w:ascii="仿宋_GB2312" w:hAnsi="仿宋" w:eastAsia="仿宋_GB2312"/>
          <w:sz w:val="32"/>
          <w:szCs w:val="32"/>
        </w:rPr>
        <w:t>加强机关组织建设，筑牢党的基层组织。按照《基层党组织规范化工作标准》汇编要求，严格基层党组织规范化建设，记好党支部手册，建立健全党支部活动履职纪实信息，认真做好发展党员工作，建立党内关怀帮扶机制，帮助党员解决实际困难和问题。认真抓好《中国共产党党务公开条例（试行）》落实，稳妥有序推进党务公开工作。继续抓好区直单位党员“先锋指数”积分制管理工作。通过典型引领、以点带面，推动全区机关党建工作上水平，建成全面进步、全面过硬，有凝聚力、战斗力的机关基层党组织。</w:t>
      </w:r>
    </w:p>
    <w:p w14:paraId="0B54D6CF">
      <w:pPr>
        <w:spacing w:line="560" w:lineRule="exact"/>
        <w:ind w:firstLine="755"/>
        <w:rPr>
          <w:rFonts w:hint="eastAsia" w:ascii="仿宋_GB2312" w:hAnsi="仿宋" w:eastAsia="仿宋_GB2312"/>
          <w:b/>
          <w:sz w:val="32"/>
          <w:szCs w:val="32"/>
        </w:rPr>
      </w:pPr>
      <w:r>
        <w:rPr>
          <w:rFonts w:hint="eastAsia" w:ascii="仿宋_GB2312" w:hAnsi="仿宋" w:eastAsia="仿宋_GB2312"/>
          <w:b/>
          <w:sz w:val="32"/>
          <w:szCs w:val="32"/>
        </w:rPr>
        <w:t>三、加强作风建设，服务“双创双服”</w:t>
      </w:r>
    </w:p>
    <w:p w14:paraId="4633AA2A">
      <w:pPr>
        <w:spacing w:line="560" w:lineRule="exact"/>
        <w:ind w:firstLine="752"/>
        <w:rPr>
          <w:rFonts w:hint="eastAsia" w:ascii="仿宋_GB2312" w:hAnsi="仿宋" w:eastAsia="仿宋_GB2312"/>
          <w:sz w:val="32"/>
          <w:szCs w:val="32"/>
        </w:rPr>
      </w:pPr>
      <w:r>
        <w:rPr>
          <w:rFonts w:hint="eastAsia" w:ascii="仿宋_GB2312" w:hAnsi="仿宋" w:eastAsia="仿宋_GB2312"/>
          <w:sz w:val="32"/>
          <w:szCs w:val="32"/>
        </w:rPr>
        <w:t>制定区直机关窗口建设的实施意见，以党员示范窗口、党员先锋岗为引领，通过开展“三亮（亮身份、亮职责、亮承诺）、三比（比技能、比业绩、比作风）、三创（创奉献先锋、创一流形象、创文明科室）三提升（提升服务技能、提升争创一流、提升群众满意度）”活动，组织带领窗口单位党员转作风、强服务、做贡献，着力搭建党员干部发挥作用，树立区直机关为民务实清廉的良好形象。</w:t>
      </w:r>
    </w:p>
    <w:p w14:paraId="2EF66C4F">
      <w:pPr>
        <w:spacing w:line="560" w:lineRule="exact"/>
        <w:ind w:firstLine="755"/>
        <w:rPr>
          <w:rFonts w:hint="eastAsia" w:ascii="仿宋_GB2312" w:hAnsi="仿宋" w:eastAsia="仿宋_GB2312"/>
          <w:b/>
          <w:sz w:val="32"/>
          <w:szCs w:val="32"/>
        </w:rPr>
      </w:pPr>
      <w:r>
        <w:rPr>
          <w:rFonts w:hint="eastAsia" w:ascii="仿宋_GB2312" w:hAnsi="仿宋" w:eastAsia="仿宋_GB2312"/>
          <w:b/>
          <w:sz w:val="32"/>
          <w:szCs w:val="32"/>
        </w:rPr>
        <w:t>四、加强机关纪律建设，打造遵规守纪党员队伍</w:t>
      </w:r>
    </w:p>
    <w:p w14:paraId="1B1CD8F0">
      <w:pPr>
        <w:spacing w:line="560" w:lineRule="exact"/>
        <w:ind w:firstLine="752"/>
        <w:rPr>
          <w:rFonts w:hint="eastAsia" w:ascii="仿宋_GB2312" w:hAnsi="仿宋" w:eastAsia="仿宋_GB2312"/>
          <w:sz w:val="32"/>
          <w:szCs w:val="32"/>
        </w:rPr>
      </w:pPr>
      <w:r>
        <w:rPr>
          <w:rFonts w:hint="eastAsia" w:ascii="仿宋_GB2312" w:hAnsi="仿宋" w:eastAsia="仿宋_GB2312"/>
          <w:sz w:val="32"/>
          <w:szCs w:val="32"/>
        </w:rPr>
        <w:t>持之以恒开展正风肃纪。督促区直单位抓好“四风”问题整改，聚焦不正之风新表现新动向，紧盯形式主义、官僚主义、享乐主义和奢靡之风，紧盯不作为、乱作为、冷硬横推问题，教育引导党员干部增强群众感情，坚决反对特权思想和特权现象。着力健全制度机制，强化不敢腐的震慑，扎牢不能腐的笼子，增强不想腐的自觉。</w:t>
      </w:r>
    </w:p>
    <w:p w14:paraId="112AA7FD">
      <w:pPr>
        <w:spacing w:line="560" w:lineRule="exact"/>
        <w:ind w:firstLine="739"/>
        <w:rPr>
          <w:rFonts w:hint="eastAsia" w:ascii="仿宋_GB2312" w:hAnsi="仿宋" w:eastAsia="仿宋_GB2312"/>
          <w:b/>
          <w:sz w:val="32"/>
          <w:szCs w:val="32"/>
        </w:rPr>
      </w:pPr>
      <w:r>
        <w:rPr>
          <w:rFonts w:hint="eastAsia" w:ascii="仿宋_GB2312" w:hAnsi="仿宋" w:eastAsia="仿宋_GB2312"/>
          <w:b/>
          <w:sz w:val="32"/>
          <w:szCs w:val="32"/>
        </w:rPr>
        <w:t>五、加强机关制度建设，全面从严治党向纵深发展</w:t>
      </w:r>
    </w:p>
    <w:p w14:paraId="29A5B6CD">
      <w:pPr>
        <w:spacing w:line="560" w:lineRule="exact"/>
        <w:ind w:firstLine="736"/>
        <w:rPr>
          <w:rFonts w:hint="eastAsia" w:ascii="仿宋_GB2312" w:hAnsi="仿宋" w:eastAsia="仿宋_GB2312"/>
          <w:sz w:val="32"/>
          <w:szCs w:val="32"/>
        </w:rPr>
      </w:pPr>
      <w:r>
        <w:rPr>
          <w:rFonts w:hint="eastAsia" w:ascii="仿宋_GB2312" w:hAnsi="仿宋" w:eastAsia="仿宋_GB2312"/>
          <w:sz w:val="32"/>
          <w:szCs w:val="32"/>
        </w:rPr>
        <w:t>完善机关各项规章制度。严格规范内部管理，自觉接受各方面的监督，强化做好区直机关工委党建工作的责任感和使命感，提炼抓好党建工作的长效机制，营造争先创优氛围，加强日常监督检查，持续转变干部作风，推动工委自身建设水平不断提高。</w:t>
      </w:r>
    </w:p>
    <w:p w14:paraId="03CEF319">
      <w:pPr>
        <w:ind w:firstLine="640"/>
        <w:jc w:val="left"/>
        <w:rPr>
          <w:rFonts w:hint="eastAsia" w:ascii="仿宋_GB2312" w:hAnsi="Times New Roman" w:eastAsia="仿宋_GB2312"/>
          <w:sz w:val="32"/>
          <w:szCs w:val="32"/>
        </w:rPr>
      </w:pPr>
    </w:p>
    <w:p w14:paraId="1179CED8">
      <w:pPr>
        <w:ind w:firstLine="321"/>
        <w:rPr>
          <w:rFonts w:hint="eastAsia" w:ascii="仿宋_GB2312" w:hAnsi="Times New Roman" w:eastAsia="仿宋_GB2312"/>
          <w:b/>
          <w:sz w:val="32"/>
          <w:szCs w:val="32"/>
        </w:rPr>
      </w:pPr>
      <w:r>
        <w:rPr>
          <w:rFonts w:hint="eastAsia" w:ascii="仿宋_GB2312" w:hAnsi="Times New Roman" w:eastAsia="仿宋_GB2312"/>
          <w:b/>
          <w:sz w:val="32"/>
          <w:szCs w:val="32"/>
        </w:rPr>
        <w:t>部门职责及工作活动绩效目标指标：</w:t>
      </w:r>
    </w:p>
    <w:tbl>
      <w:tblPr>
        <w:tblStyle w:val="28"/>
        <w:tblW w:w="13440" w:type="dxa"/>
        <w:tblInd w:w="93" w:type="dxa"/>
        <w:tblLayout w:type="autofit"/>
        <w:tblCellMar>
          <w:top w:w="0" w:type="dxa"/>
          <w:left w:w="108" w:type="dxa"/>
          <w:bottom w:w="0" w:type="dxa"/>
          <w:right w:w="108" w:type="dxa"/>
        </w:tblCellMar>
      </w:tblPr>
      <w:tblGrid>
        <w:gridCol w:w="540"/>
        <w:gridCol w:w="1600"/>
        <w:gridCol w:w="1260"/>
        <w:gridCol w:w="3000"/>
        <w:gridCol w:w="2080"/>
        <w:gridCol w:w="1360"/>
        <w:gridCol w:w="900"/>
        <w:gridCol w:w="900"/>
        <w:gridCol w:w="900"/>
        <w:gridCol w:w="900"/>
      </w:tblGrid>
      <w:tr w14:paraId="7EBCE77B">
        <w:tblPrEx>
          <w:tblCellMar>
            <w:top w:w="0" w:type="dxa"/>
            <w:left w:w="108" w:type="dxa"/>
            <w:bottom w:w="0" w:type="dxa"/>
            <w:right w:w="108" w:type="dxa"/>
          </w:tblCellMar>
        </w:tblPrEx>
        <w:trPr>
          <w:trHeight w:val="750" w:hRule="atLeast"/>
        </w:trPr>
        <w:tc>
          <w:tcPr>
            <w:tcW w:w="13440" w:type="dxa"/>
            <w:gridSpan w:val="10"/>
            <w:tcBorders>
              <w:top w:val="single" w:color="000000" w:sz="4" w:space="0"/>
              <w:left w:val="single" w:color="000000" w:sz="4" w:space="0"/>
              <w:bottom w:val="single" w:color="000000" w:sz="4" w:space="0"/>
              <w:right w:val="single" w:color="000000" w:sz="4" w:space="0"/>
            </w:tcBorders>
            <w:shd w:val="clear" w:color="000000" w:fill="E4ECF7"/>
            <w:noWrap w:val="0"/>
            <w:vAlign w:val="center"/>
          </w:tcPr>
          <w:p w14:paraId="6FE47F9C">
            <w:pPr>
              <w:widowControl/>
              <w:jc w:val="center"/>
              <w:rPr>
                <w:rFonts w:ascii="宋体" w:hAnsi="宋体" w:cs="宋体"/>
                <w:b/>
                <w:bCs/>
                <w:sz w:val="44"/>
                <w:szCs w:val="44"/>
              </w:rPr>
            </w:pPr>
            <w:r>
              <w:rPr>
                <w:rFonts w:hint="eastAsia" w:ascii="宋体" w:hAnsi="宋体" w:cs="宋体"/>
                <w:b/>
                <w:bCs/>
                <w:sz w:val="44"/>
                <w:szCs w:val="44"/>
              </w:rPr>
              <w:t>部门职责—工作活动绩效目标表</w:t>
            </w:r>
          </w:p>
        </w:tc>
      </w:tr>
      <w:tr w14:paraId="2C666CD0">
        <w:tblPrEx>
          <w:tblCellMar>
            <w:top w:w="0" w:type="dxa"/>
            <w:left w:w="108" w:type="dxa"/>
            <w:bottom w:w="0" w:type="dxa"/>
            <w:right w:w="108" w:type="dxa"/>
          </w:tblCellMar>
        </w:tblPrEx>
        <w:trPr>
          <w:trHeight w:val="300" w:hRule="atLeast"/>
        </w:trPr>
        <w:tc>
          <w:tcPr>
            <w:tcW w:w="6400" w:type="dxa"/>
            <w:gridSpan w:val="4"/>
            <w:tcBorders>
              <w:top w:val="single" w:color="000000" w:sz="4" w:space="0"/>
              <w:left w:val="single" w:color="000000" w:sz="4" w:space="0"/>
              <w:bottom w:val="single" w:color="000000" w:sz="4" w:space="0"/>
              <w:right w:val="single" w:color="000000" w:sz="4" w:space="0"/>
            </w:tcBorders>
            <w:shd w:val="clear" w:color="000000" w:fill="E4ECF7"/>
            <w:noWrap w:val="0"/>
            <w:vAlign w:val="center"/>
          </w:tcPr>
          <w:p w14:paraId="3D74F5CA">
            <w:pPr>
              <w:widowControl/>
              <w:jc w:val="center"/>
              <w:rPr>
                <w:rFonts w:ascii="宋体" w:hAnsi="宋体" w:cs="宋体"/>
                <w:sz w:val="18"/>
                <w:szCs w:val="18"/>
              </w:rPr>
            </w:pPr>
            <w:r>
              <w:rPr>
                <w:rFonts w:hint="eastAsia" w:ascii="宋体" w:hAnsi="宋体" w:cs="宋体"/>
                <w:sz w:val="18"/>
                <w:szCs w:val="18"/>
              </w:rPr>
              <w:t>部门编码及名称：[286] 中国共产党承德市鹰手营子矿区委区直机关工作委员会</w:t>
            </w:r>
          </w:p>
        </w:tc>
        <w:tc>
          <w:tcPr>
            <w:tcW w:w="3440" w:type="dxa"/>
            <w:gridSpan w:val="2"/>
            <w:tcBorders>
              <w:top w:val="single" w:color="000000" w:sz="4" w:space="0"/>
              <w:left w:val="nil"/>
              <w:bottom w:val="single" w:color="000000" w:sz="4" w:space="0"/>
              <w:right w:val="single" w:color="000000" w:sz="4" w:space="0"/>
            </w:tcBorders>
            <w:shd w:val="clear" w:color="000000" w:fill="E4ECF7"/>
            <w:noWrap w:val="0"/>
            <w:vAlign w:val="center"/>
          </w:tcPr>
          <w:p w14:paraId="2853AAEA">
            <w:pPr>
              <w:widowControl/>
              <w:jc w:val="left"/>
              <w:rPr>
                <w:rFonts w:ascii="宋体" w:hAnsi="宋体" w:cs="宋体"/>
                <w:sz w:val="18"/>
                <w:szCs w:val="18"/>
              </w:rPr>
            </w:pPr>
            <w:r>
              <w:rPr>
                <w:rFonts w:hint="eastAsia" w:ascii="宋体" w:hAnsi="宋体" w:cs="宋体"/>
                <w:sz w:val="18"/>
                <w:szCs w:val="18"/>
              </w:rPr>
              <w:t>预算年度：2018</w:t>
            </w:r>
          </w:p>
        </w:tc>
        <w:tc>
          <w:tcPr>
            <w:tcW w:w="3600" w:type="dxa"/>
            <w:gridSpan w:val="4"/>
            <w:tcBorders>
              <w:top w:val="single" w:color="000000" w:sz="4" w:space="0"/>
              <w:left w:val="nil"/>
              <w:bottom w:val="single" w:color="000000" w:sz="4" w:space="0"/>
              <w:right w:val="single" w:color="000000" w:sz="4" w:space="0"/>
            </w:tcBorders>
            <w:shd w:val="clear" w:color="000000" w:fill="E4ECF7"/>
            <w:noWrap w:val="0"/>
            <w:vAlign w:val="center"/>
          </w:tcPr>
          <w:p w14:paraId="0364CE2C">
            <w:pPr>
              <w:widowControl/>
              <w:jc w:val="left"/>
              <w:rPr>
                <w:rFonts w:ascii="宋体" w:hAnsi="宋体" w:cs="宋体"/>
                <w:sz w:val="18"/>
                <w:szCs w:val="18"/>
              </w:rPr>
            </w:pPr>
            <w:r>
              <w:rPr>
                <w:rFonts w:hint="eastAsia" w:ascii="宋体" w:hAnsi="宋体" w:cs="宋体"/>
                <w:sz w:val="18"/>
                <w:szCs w:val="18"/>
              </w:rPr>
              <w:t>金额单位：万元</w:t>
            </w:r>
          </w:p>
        </w:tc>
      </w:tr>
      <w:tr w14:paraId="1AF0DF5E">
        <w:tblPrEx>
          <w:tblCellMar>
            <w:top w:w="0" w:type="dxa"/>
            <w:left w:w="108" w:type="dxa"/>
            <w:bottom w:w="0" w:type="dxa"/>
            <w:right w:w="108" w:type="dxa"/>
          </w:tblCellMar>
        </w:tblPrEx>
        <w:trPr>
          <w:trHeight w:val="300" w:hRule="atLeast"/>
        </w:trPr>
        <w:tc>
          <w:tcPr>
            <w:tcW w:w="540" w:type="dxa"/>
            <w:vMerge w:val="restart"/>
            <w:tcBorders>
              <w:top w:val="nil"/>
              <w:left w:val="single" w:color="000000" w:sz="4" w:space="0"/>
              <w:bottom w:val="single" w:color="000000" w:sz="4" w:space="0"/>
              <w:right w:val="single" w:color="000000" w:sz="4" w:space="0"/>
            </w:tcBorders>
            <w:shd w:val="clear" w:color="000000" w:fill="E4ECF7"/>
            <w:noWrap w:val="0"/>
            <w:vAlign w:val="center"/>
          </w:tcPr>
          <w:p w14:paraId="128A42A1">
            <w:pPr>
              <w:widowControl/>
              <w:jc w:val="center"/>
              <w:rPr>
                <w:rFonts w:ascii="宋体" w:hAnsi="宋体" w:cs="宋体"/>
                <w:sz w:val="18"/>
                <w:szCs w:val="18"/>
              </w:rPr>
            </w:pPr>
            <w:r>
              <w:rPr>
                <w:rFonts w:hint="eastAsia" w:ascii="宋体" w:hAnsi="宋体" w:cs="宋体"/>
                <w:sz w:val="18"/>
                <w:szCs w:val="18"/>
              </w:rPr>
              <w:t>序号</w:t>
            </w:r>
          </w:p>
        </w:tc>
        <w:tc>
          <w:tcPr>
            <w:tcW w:w="1600" w:type="dxa"/>
            <w:vMerge w:val="restart"/>
            <w:tcBorders>
              <w:top w:val="nil"/>
              <w:left w:val="single" w:color="000000" w:sz="4" w:space="0"/>
              <w:bottom w:val="single" w:color="000000" w:sz="4" w:space="0"/>
              <w:right w:val="single" w:color="000000" w:sz="4" w:space="0"/>
            </w:tcBorders>
            <w:shd w:val="clear" w:color="000000" w:fill="E4ECF7"/>
            <w:noWrap w:val="0"/>
            <w:vAlign w:val="center"/>
          </w:tcPr>
          <w:p w14:paraId="765A403B">
            <w:pPr>
              <w:widowControl/>
              <w:jc w:val="center"/>
              <w:rPr>
                <w:rFonts w:ascii="宋体" w:hAnsi="宋体" w:cs="宋体"/>
                <w:sz w:val="18"/>
                <w:szCs w:val="18"/>
              </w:rPr>
            </w:pPr>
            <w:r>
              <w:rPr>
                <w:rFonts w:hint="eastAsia" w:ascii="宋体" w:hAnsi="宋体" w:cs="宋体"/>
                <w:sz w:val="18"/>
                <w:szCs w:val="18"/>
              </w:rPr>
              <w:t>职责活动</w:t>
            </w:r>
          </w:p>
        </w:tc>
        <w:tc>
          <w:tcPr>
            <w:tcW w:w="1260" w:type="dxa"/>
            <w:vMerge w:val="restart"/>
            <w:tcBorders>
              <w:top w:val="nil"/>
              <w:left w:val="single" w:color="000000" w:sz="4" w:space="0"/>
              <w:bottom w:val="single" w:color="000000" w:sz="4" w:space="0"/>
              <w:right w:val="single" w:color="000000" w:sz="4" w:space="0"/>
            </w:tcBorders>
            <w:shd w:val="clear" w:color="000000" w:fill="E4ECF7"/>
            <w:noWrap w:val="0"/>
            <w:vAlign w:val="center"/>
          </w:tcPr>
          <w:p w14:paraId="5B930070">
            <w:pPr>
              <w:widowControl/>
              <w:jc w:val="center"/>
              <w:rPr>
                <w:rFonts w:ascii="宋体" w:hAnsi="宋体" w:cs="宋体"/>
                <w:sz w:val="18"/>
                <w:szCs w:val="18"/>
              </w:rPr>
            </w:pPr>
            <w:r>
              <w:rPr>
                <w:rFonts w:hint="eastAsia" w:ascii="宋体" w:hAnsi="宋体" w:cs="宋体"/>
                <w:sz w:val="18"/>
                <w:szCs w:val="18"/>
              </w:rPr>
              <w:t>年度预算数</w:t>
            </w:r>
          </w:p>
        </w:tc>
        <w:tc>
          <w:tcPr>
            <w:tcW w:w="3000" w:type="dxa"/>
            <w:vMerge w:val="restart"/>
            <w:tcBorders>
              <w:top w:val="nil"/>
              <w:left w:val="single" w:color="000000" w:sz="4" w:space="0"/>
              <w:bottom w:val="single" w:color="000000" w:sz="4" w:space="0"/>
              <w:right w:val="single" w:color="000000" w:sz="4" w:space="0"/>
            </w:tcBorders>
            <w:shd w:val="clear" w:color="000000" w:fill="E4ECF7"/>
            <w:noWrap w:val="0"/>
            <w:vAlign w:val="center"/>
          </w:tcPr>
          <w:p w14:paraId="6CB0B67B">
            <w:pPr>
              <w:widowControl/>
              <w:jc w:val="center"/>
              <w:rPr>
                <w:rFonts w:ascii="宋体" w:hAnsi="宋体" w:cs="宋体"/>
                <w:sz w:val="18"/>
                <w:szCs w:val="18"/>
              </w:rPr>
            </w:pPr>
            <w:r>
              <w:rPr>
                <w:rFonts w:hint="eastAsia" w:ascii="宋体" w:hAnsi="宋体" w:cs="宋体"/>
                <w:sz w:val="18"/>
                <w:szCs w:val="18"/>
              </w:rPr>
              <w:t>内容描述</w:t>
            </w:r>
          </w:p>
        </w:tc>
        <w:tc>
          <w:tcPr>
            <w:tcW w:w="2080" w:type="dxa"/>
            <w:vMerge w:val="restart"/>
            <w:tcBorders>
              <w:top w:val="nil"/>
              <w:left w:val="single" w:color="000000" w:sz="4" w:space="0"/>
              <w:bottom w:val="single" w:color="000000" w:sz="4" w:space="0"/>
              <w:right w:val="single" w:color="000000" w:sz="4" w:space="0"/>
            </w:tcBorders>
            <w:shd w:val="clear" w:color="000000" w:fill="E4ECF7"/>
            <w:noWrap w:val="0"/>
            <w:vAlign w:val="center"/>
          </w:tcPr>
          <w:p w14:paraId="66F0CBB1">
            <w:pPr>
              <w:widowControl/>
              <w:jc w:val="center"/>
              <w:rPr>
                <w:rFonts w:ascii="宋体" w:hAnsi="宋体" w:cs="宋体"/>
                <w:sz w:val="18"/>
                <w:szCs w:val="18"/>
              </w:rPr>
            </w:pPr>
            <w:r>
              <w:rPr>
                <w:rFonts w:hint="eastAsia" w:ascii="宋体" w:hAnsi="宋体" w:cs="宋体"/>
                <w:sz w:val="18"/>
                <w:szCs w:val="18"/>
              </w:rPr>
              <w:t>绩效目标</w:t>
            </w:r>
          </w:p>
        </w:tc>
        <w:tc>
          <w:tcPr>
            <w:tcW w:w="1360" w:type="dxa"/>
            <w:vMerge w:val="restart"/>
            <w:tcBorders>
              <w:top w:val="nil"/>
              <w:left w:val="single" w:color="000000" w:sz="4" w:space="0"/>
              <w:bottom w:val="single" w:color="000000" w:sz="4" w:space="0"/>
              <w:right w:val="single" w:color="000000" w:sz="4" w:space="0"/>
            </w:tcBorders>
            <w:shd w:val="clear" w:color="000000" w:fill="E4ECF7"/>
            <w:noWrap w:val="0"/>
            <w:vAlign w:val="center"/>
          </w:tcPr>
          <w:p w14:paraId="705F82AB">
            <w:pPr>
              <w:widowControl/>
              <w:jc w:val="center"/>
              <w:rPr>
                <w:rFonts w:ascii="宋体" w:hAnsi="宋体" w:cs="宋体"/>
                <w:sz w:val="18"/>
                <w:szCs w:val="18"/>
              </w:rPr>
            </w:pPr>
            <w:r>
              <w:rPr>
                <w:rFonts w:hint="eastAsia" w:ascii="宋体" w:hAnsi="宋体" w:cs="宋体"/>
                <w:sz w:val="18"/>
                <w:szCs w:val="18"/>
              </w:rPr>
              <w:t>绩效指标</w:t>
            </w:r>
          </w:p>
        </w:tc>
        <w:tc>
          <w:tcPr>
            <w:tcW w:w="3600" w:type="dxa"/>
            <w:gridSpan w:val="4"/>
            <w:tcBorders>
              <w:top w:val="single" w:color="000000" w:sz="4" w:space="0"/>
              <w:left w:val="nil"/>
              <w:bottom w:val="single" w:color="000000" w:sz="4" w:space="0"/>
              <w:right w:val="single" w:color="000000" w:sz="4" w:space="0"/>
            </w:tcBorders>
            <w:shd w:val="clear" w:color="000000" w:fill="E4ECF7"/>
            <w:noWrap w:val="0"/>
            <w:vAlign w:val="center"/>
          </w:tcPr>
          <w:p w14:paraId="79C533C5">
            <w:pPr>
              <w:widowControl/>
              <w:jc w:val="center"/>
              <w:rPr>
                <w:rFonts w:ascii="宋体" w:hAnsi="宋体" w:cs="宋体"/>
                <w:sz w:val="18"/>
                <w:szCs w:val="18"/>
              </w:rPr>
            </w:pPr>
            <w:r>
              <w:rPr>
                <w:rFonts w:hint="eastAsia" w:ascii="宋体" w:hAnsi="宋体" w:cs="宋体"/>
                <w:sz w:val="18"/>
                <w:szCs w:val="18"/>
              </w:rPr>
              <w:t>绩效标准</w:t>
            </w:r>
          </w:p>
        </w:tc>
      </w:tr>
      <w:tr w14:paraId="5E9BE74E">
        <w:tblPrEx>
          <w:tblCellMar>
            <w:top w:w="0" w:type="dxa"/>
            <w:left w:w="108" w:type="dxa"/>
            <w:bottom w:w="0" w:type="dxa"/>
            <w:right w:w="108" w:type="dxa"/>
          </w:tblCellMar>
        </w:tblPrEx>
        <w:trPr>
          <w:trHeight w:val="300" w:hRule="atLeast"/>
        </w:trPr>
        <w:tc>
          <w:tcPr>
            <w:tcW w:w="540" w:type="dxa"/>
            <w:vMerge w:val="continue"/>
            <w:tcBorders>
              <w:top w:val="nil"/>
              <w:left w:val="single" w:color="000000" w:sz="4" w:space="0"/>
              <w:bottom w:val="single" w:color="000000" w:sz="4" w:space="0"/>
              <w:right w:val="single" w:color="000000" w:sz="4" w:space="0"/>
            </w:tcBorders>
            <w:noWrap w:val="0"/>
            <w:vAlign w:val="center"/>
          </w:tcPr>
          <w:p w14:paraId="604CB1BB">
            <w:pPr>
              <w:widowControl/>
              <w:jc w:val="left"/>
              <w:rPr>
                <w:rFonts w:ascii="宋体" w:hAnsi="宋体" w:cs="宋体"/>
                <w:sz w:val="18"/>
                <w:szCs w:val="18"/>
              </w:rPr>
            </w:pPr>
          </w:p>
        </w:tc>
        <w:tc>
          <w:tcPr>
            <w:tcW w:w="1600" w:type="dxa"/>
            <w:vMerge w:val="continue"/>
            <w:tcBorders>
              <w:top w:val="nil"/>
              <w:left w:val="single" w:color="000000" w:sz="4" w:space="0"/>
              <w:bottom w:val="single" w:color="000000" w:sz="4" w:space="0"/>
              <w:right w:val="single" w:color="000000" w:sz="4" w:space="0"/>
            </w:tcBorders>
            <w:noWrap w:val="0"/>
            <w:vAlign w:val="center"/>
          </w:tcPr>
          <w:p w14:paraId="5577C42C">
            <w:pPr>
              <w:widowControl/>
              <w:jc w:val="left"/>
              <w:rPr>
                <w:rFonts w:ascii="宋体" w:hAnsi="宋体" w:cs="宋体"/>
                <w:sz w:val="18"/>
                <w:szCs w:val="18"/>
              </w:rPr>
            </w:pPr>
          </w:p>
        </w:tc>
        <w:tc>
          <w:tcPr>
            <w:tcW w:w="1260" w:type="dxa"/>
            <w:vMerge w:val="continue"/>
            <w:tcBorders>
              <w:top w:val="nil"/>
              <w:left w:val="single" w:color="000000" w:sz="4" w:space="0"/>
              <w:bottom w:val="single" w:color="000000" w:sz="4" w:space="0"/>
              <w:right w:val="single" w:color="000000" w:sz="4" w:space="0"/>
            </w:tcBorders>
            <w:noWrap w:val="0"/>
            <w:vAlign w:val="center"/>
          </w:tcPr>
          <w:p w14:paraId="54C87F6C">
            <w:pPr>
              <w:widowControl/>
              <w:jc w:val="left"/>
              <w:rPr>
                <w:rFonts w:ascii="宋体" w:hAnsi="宋体" w:cs="宋体"/>
                <w:sz w:val="18"/>
                <w:szCs w:val="18"/>
              </w:rPr>
            </w:pPr>
          </w:p>
        </w:tc>
        <w:tc>
          <w:tcPr>
            <w:tcW w:w="3000" w:type="dxa"/>
            <w:vMerge w:val="continue"/>
            <w:tcBorders>
              <w:top w:val="nil"/>
              <w:left w:val="single" w:color="000000" w:sz="4" w:space="0"/>
              <w:bottom w:val="single" w:color="000000" w:sz="4" w:space="0"/>
              <w:right w:val="single" w:color="000000" w:sz="4" w:space="0"/>
            </w:tcBorders>
            <w:noWrap w:val="0"/>
            <w:vAlign w:val="center"/>
          </w:tcPr>
          <w:p w14:paraId="1329367F">
            <w:pPr>
              <w:widowControl/>
              <w:jc w:val="left"/>
              <w:rPr>
                <w:rFonts w:ascii="宋体" w:hAnsi="宋体" w:cs="宋体"/>
                <w:sz w:val="18"/>
                <w:szCs w:val="18"/>
              </w:rPr>
            </w:pPr>
          </w:p>
        </w:tc>
        <w:tc>
          <w:tcPr>
            <w:tcW w:w="2080" w:type="dxa"/>
            <w:vMerge w:val="continue"/>
            <w:tcBorders>
              <w:top w:val="nil"/>
              <w:left w:val="single" w:color="000000" w:sz="4" w:space="0"/>
              <w:bottom w:val="single" w:color="000000" w:sz="4" w:space="0"/>
              <w:right w:val="single" w:color="000000" w:sz="4" w:space="0"/>
            </w:tcBorders>
            <w:noWrap w:val="0"/>
            <w:vAlign w:val="center"/>
          </w:tcPr>
          <w:p w14:paraId="5947E697">
            <w:pPr>
              <w:widowControl/>
              <w:jc w:val="left"/>
              <w:rPr>
                <w:rFonts w:ascii="宋体" w:hAnsi="宋体" w:cs="宋体"/>
                <w:sz w:val="18"/>
                <w:szCs w:val="18"/>
              </w:rPr>
            </w:pPr>
          </w:p>
        </w:tc>
        <w:tc>
          <w:tcPr>
            <w:tcW w:w="1360" w:type="dxa"/>
            <w:vMerge w:val="continue"/>
            <w:tcBorders>
              <w:top w:val="nil"/>
              <w:left w:val="single" w:color="000000" w:sz="4" w:space="0"/>
              <w:bottom w:val="single" w:color="000000" w:sz="4" w:space="0"/>
              <w:right w:val="single" w:color="000000" w:sz="4" w:space="0"/>
            </w:tcBorders>
            <w:noWrap w:val="0"/>
            <w:vAlign w:val="center"/>
          </w:tcPr>
          <w:p w14:paraId="5B71A912">
            <w:pPr>
              <w:widowControl/>
              <w:jc w:val="left"/>
              <w:rPr>
                <w:rFonts w:ascii="宋体" w:hAnsi="宋体" w:cs="宋体"/>
                <w:sz w:val="18"/>
                <w:szCs w:val="18"/>
              </w:rPr>
            </w:pPr>
          </w:p>
        </w:tc>
        <w:tc>
          <w:tcPr>
            <w:tcW w:w="900" w:type="dxa"/>
            <w:tcBorders>
              <w:top w:val="nil"/>
              <w:left w:val="nil"/>
              <w:bottom w:val="single" w:color="000000" w:sz="4" w:space="0"/>
              <w:right w:val="single" w:color="000000" w:sz="4" w:space="0"/>
            </w:tcBorders>
            <w:shd w:val="clear" w:color="000000" w:fill="E4ECF7"/>
            <w:noWrap w:val="0"/>
            <w:vAlign w:val="center"/>
          </w:tcPr>
          <w:p w14:paraId="5BAF5C2D">
            <w:pPr>
              <w:widowControl/>
              <w:jc w:val="center"/>
              <w:rPr>
                <w:rFonts w:ascii="宋体" w:hAnsi="宋体" w:cs="宋体"/>
                <w:sz w:val="18"/>
                <w:szCs w:val="18"/>
              </w:rPr>
            </w:pPr>
            <w:r>
              <w:rPr>
                <w:rFonts w:hint="eastAsia" w:ascii="宋体" w:hAnsi="宋体" w:cs="宋体"/>
                <w:sz w:val="18"/>
                <w:szCs w:val="18"/>
              </w:rPr>
              <w:t>优</w:t>
            </w:r>
          </w:p>
        </w:tc>
        <w:tc>
          <w:tcPr>
            <w:tcW w:w="900" w:type="dxa"/>
            <w:tcBorders>
              <w:top w:val="nil"/>
              <w:left w:val="nil"/>
              <w:bottom w:val="single" w:color="000000" w:sz="4" w:space="0"/>
              <w:right w:val="single" w:color="000000" w:sz="4" w:space="0"/>
            </w:tcBorders>
            <w:shd w:val="clear" w:color="000000" w:fill="E4ECF7"/>
            <w:noWrap w:val="0"/>
            <w:vAlign w:val="center"/>
          </w:tcPr>
          <w:p w14:paraId="36F9190B">
            <w:pPr>
              <w:widowControl/>
              <w:jc w:val="center"/>
              <w:rPr>
                <w:rFonts w:ascii="宋体" w:hAnsi="宋体" w:cs="宋体"/>
                <w:sz w:val="18"/>
                <w:szCs w:val="18"/>
              </w:rPr>
            </w:pPr>
            <w:r>
              <w:rPr>
                <w:rFonts w:hint="eastAsia" w:ascii="宋体" w:hAnsi="宋体" w:cs="宋体"/>
                <w:sz w:val="18"/>
                <w:szCs w:val="18"/>
              </w:rPr>
              <w:t>良</w:t>
            </w:r>
          </w:p>
        </w:tc>
        <w:tc>
          <w:tcPr>
            <w:tcW w:w="900" w:type="dxa"/>
            <w:tcBorders>
              <w:top w:val="nil"/>
              <w:left w:val="nil"/>
              <w:bottom w:val="single" w:color="000000" w:sz="4" w:space="0"/>
              <w:right w:val="single" w:color="000000" w:sz="4" w:space="0"/>
            </w:tcBorders>
            <w:shd w:val="clear" w:color="000000" w:fill="E4ECF7"/>
            <w:noWrap w:val="0"/>
            <w:vAlign w:val="center"/>
          </w:tcPr>
          <w:p w14:paraId="3C227C2F">
            <w:pPr>
              <w:widowControl/>
              <w:jc w:val="center"/>
              <w:rPr>
                <w:rFonts w:ascii="宋体" w:hAnsi="宋体" w:cs="宋体"/>
                <w:sz w:val="18"/>
                <w:szCs w:val="18"/>
              </w:rPr>
            </w:pPr>
            <w:r>
              <w:rPr>
                <w:rFonts w:hint="eastAsia" w:ascii="宋体" w:hAnsi="宋体" w:cs="宋体"/>
                <w:sz w:val="18"/>
                <w:szCs w:val="18"/>
              </w:rPr>
              <w:t>中</w:t>
            </w:r>
          </w:p>
        </w:tc>
        <w:tc>
          <w:tcPr>
            <w:tcW w:w="900" w:type="dxa"/>
            <w:tcBorders>
              <w:top w:val="nil"/>
              <w:left w:val="nil"/>
              <w:bottom w:val="single" w:color="000000" w:sz="4" w:space="0"/>
              <w:right w:val="single" w:color="000000" w:sz="4" w:space="0"/>
            </w:tcBorders>
            <w:shd w:val="clear" w:color="000000" w:fill="E4ECF7"/>
            <w:noWrap w:val="0"/>
            <w:vAlign w:val="center"/>
          </w:tcPr>
          <w:p w14:paraId="52719522">
            <w:pPr>
              <w:widowControl/>
              <w:jc w:val="center"/>
              <w:rPr>
                <w:rFonts w:ascii="宋体" w:hAnsi="宋体" w:cs="宋体"/>
                <w:sz w:val="18"/>
                <w:szCs w:val="18"/>
              </w:rPr>
            </w:pPr>
            <w:r>
              <w:rPr>
                <w:rFonts w:hint="eastAsia" w:ascii="宋体" w:hAnsi="宋体" w:cs="宋体"/>
                <w:sz w:val="18"/>
                <w:szCs w:val="18"/>
              </w:rPr>
              <w:t>差</w:t>
            </w:r>
          </w:p>
        </w:tc>
      </w:tr>
      <w:tr w14:paraId="50D950E1">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shd w:val="clear" w:color="000000" w:fill="E4ECF7"/>
            <w:noWrap w:val="0"/>
            <w:vAlign w:val="center"/>
          </w:tcPr>
          <w:p w14:paraId="6CFFFBE5">
            <w:pPr>
              <w:widowControl/>
              <w:jc w:val="center"/>
              <w:rPr>
                <w:rFonts w:ascii="宋体" w:hAnsi="宋体" w:cs="宋体"/>
                <w:sz w:val="18"/>
                <w:szCs w:val="18"/>
              </w:rPr>
            </w:pPr>
            <w:r>
              <w:rPr>
                <w:rFonts w:hint="eastAsia" w:ascii="宋体" w:hAnsi="宋体" w:cs="宋体"/>
                <w:sz w:val="18"/>
                <w:szCs w:val="18"/>
              </w:rPr>
              <w:t>栏次</w:t>
            </w:r>
          </w:p>
        </w:tc>
        <w:tc>
          <w:tcPr>
            <w:tcW w:w="1600" w:type="dxa"/>
            <w:tcBorders>
              <w:top w:val="nil"/>
              <w:left w:val="nil"/>
              <w:bottom w:val="single" w:color="000000" w:sz="4" w:space="0"/>
              <w:right w:val="single" w:color="000000" w:sz="4" w:space="0"/>
            </w:tcBorders>
            <w:shd w:val="clear" w:color="000000" w:fill="E4ECF7"/>
            <w:noWrap w:val="0"/>
            <w:vAlign w:val="center"/>
          </w:tcPr>
          <w:p w14:paraId="40F34E6E">
            <w:pPr>
              <w:widowControl/>
              <w:jc w:val="center"/>
              <w:rPr>
                <w:rFonts w:ascii="宋体" w:hAnsi="宋体" w:cs="宋体"/>
                <w:sz w:val="18"/>
                <w:szCs w:val="18"/>
              </w:rPr>
            </w:pPr>
            <w:r>
              <w:rPr>
                <w:rFonts w:hint="eastAsia" w:ascii="宋体" w:hAnsi="宋体" w:cs="宋体"/>
                <w:sz w:val="18"/>
                <w:szCs w:val="18"/>
              </w:rPr>
              <w:t>1</w:t>
            </w:r>
          </w:p>
        </w:tc>
        <w:tc>
          <w:tcPr>
            <w:tcW w:w="1260" w:type="dxa"/>
            <w:tcBorders>
              <w:top w:val="nil"/>
              <w:left w:val="nil"/>
              <w:bottom w:val="single" w:color="000000" w:sz="4" w:space="0"/>
              <w:right w:val="single" w:color="000000" w:sz="4" w:space="0"/>
            </w:tcBorders>
            <w:shd w:val="clear" w:color="000000" w:fill="E4ECF7"/>
            <w:noWrap w:val="0"/>
            <w:vAlign w:val="center"/>
          </w:tcPr>
          <w:p w14:paraId="3D3708FF">
            <w:pPr>
              <w:widowControl/>
              <w:jc w:val="center"/>
              <w:rPr>
                <w:rFonts w:ascii="宋体" w:hAnsi="宋体" w:cs="宋体"/>
                <w:sz w:val="18"/>
                <w:szCs w:val="18"/>
              </w:rPr>
            </w:pPr>
            <w:r>
              <w:rPr>
                <w:rFonts w:hint="eastAsia" w:ascii="宋体" w:hAnsi="宋体" w:cs="宋体"/>
                <w:sz w:val="18"/>
                <w:szCs w:val="18"/>
              </w:rPr>
              <w:t>2</w:t>
            </w:r>
          </w:p>
        </w:tc>
        <w:tc>
          <w:tcPr>
            <w:tcW w:w="3000" w:type="dxa"/>
            <w:tcBorders>
              <w:top w:val="nil"/>
              <w:left w:val="nil"/>
              <w:bottom w:val="single" w:color="000000" w:sz="4" w:space="0"/>
              <w:right w:val="single" w:color="000000" w:sz="4" w:space="0"/>
            </w:tcBorders>
            <w:shd w:val="clear" w:color="000000" w:fill="E4ECF7"/>
            <w:noWrap w:val="0"/>
            <w:vAlign w:val="center"/>
          </w:tcPr>
          <w:p w14:paraId="365C5B4F">
            <w:pPr>
              <w:widowControl/>
              <w:jc w:val="center"/>
              <w:rPr>
                <w:rFonts w:ascii="宋体" w:hAnsi="宋体" w:cs="宋体"/>
                <w:sz w:val="18"/>
                <w:szCs w:val="18"/>
              </w:rPr>
            </w:pPr>
            <w:r>
              <w:rPr>
                <w:rFonts w:hint="eastAsia" w:ascii="宋体" w:hAnsi="宋体" w:cs="宋体"/>
                <w:sz w:val="18"/>
                <w:szCs w:val="18"/>
              </w:rPr>
              <w:t>3</w:t>
            </w:r>
          </w:p>
        </w:tc>
        <w:tc>
          <w:tcPr>
            <w:tcW w:w="2080" w:type="dxa"/>
            <w:tcBorders>
              <w:top w:val="nil"/>
              <w:left w:val="nil"/>
              <w:bottom w:val="single" w:color="000000" w:sz="4" w:space="0"/>
              <w:right w:val="single" w:color="000000" w:sz="4" w:space="0"/>
            </w:tcBorders>
            <w:shd w:val="clear" w:color="000000" w:fill="E4ECF7"/>
            <w:noWrap w:val="0"/>
            <w:vAlign w:val="center"/>
          </w:tcPr>
          <w:p w14:paraId="5A343E1B">
            <w:pPr>
              <w:widowControl/>
              <w:jc w:val="center"/>
              <w:rPr>
                <w:rFonts w:ascii="宋体" w:hAnsi="宋体" w:cs="宋体"/>
                <w:sz w:val="18"/>
                <w:szCs w:val="18"/>
              </w:rPr>
            </w:pPr>
            <w:r>
              <w:rPr>
                <w:rFonts w:hint="eastAsia" w:ascii="宋体" w:hAnsi="宋体" w:cs="宋体"/>
                <w:sz w:val="18"/>
                <w:szCs w:val="18"/>
              </w:rPr>
              <w:t>4</w:t>
            </w:r>
          </w:p>
        </w:tc>
        <w:tc>
          <w:tcPr>
            <w:tcW w:w="1360" w:type="dxa"/>
            <w:tcBorders>
              <w:top w:val="nil"/>
              <w:left w:val="nil"/>
              <w:bottom w:val="single" w:color="000000" w:sz="4" w:space="0"/>
              <w:right w:val="single" w:color="000000" w:sz="4" w:space="0"/>
            </w:tcBorders>
            <w:shd w:val="clear" w:color="000000" w:fill="E4ECF7"/>
            <w:noWrap w:val="0"/>
            <w:vAlign w:val="center"/>
          </w:tcPr>
          <w:p w14:paraId="262493B8">
            <w:pPr>
              <w:widowControl/>
              <w:jc w:val="center"/>
              <w:rPr>
                <w:rFonts w:ascii="宋体" w:hAnsi="宋体" w:cs="宋体"/>
                <w:sz w:val="18"/>
                <w:szCs w:val="18"/>
              </w:rPr>
            </w:pPr>
            <w:r>
              <w:rPr>
                <w:rFonts w:hint="eastAsia" w:ascii="宋体" w:hAnsi="宋体" w:cs="宋体"/>
                <w:sz w:val="18"/>
                <w:szCs w:val="18"/>
              </w:rPr>
              <w:t>5</w:t>
            </w:r>
          </w:p>
        </w:tc>
        <w:tc>
          <w:tcPr>
            <w:tcW w:w="900" w:type="dxa"/>
            <w:tcBorders>
              <w:top w:val="nil"/>
              <w:left w:val="nil"/>
              <w:bottom w:val="single" w:color="000000" w:sz="4" w:space="0"/>
              <w:right w:val="single" w:color="000000" w:sz="4" w:space="0"/>
            </w:tcBorders>
            <w:shd w:val="clear" w:color="000000" w:fill="E4ECF7"/>
            <w:noWrap w:val="0"/>
            <w:vAlign w:val="center"/>
          </w:tcPr>
          <w:p w14:paraId="74D0384E">
            <w:pPr>
              <w:widowControl/>
              <w:jc w:val="center"/>
              <w:rPr>
                <w:rFonts w:ascii="宋体" w:hAnsi="宋体" w:cs="宋体"/>
                <w:sz w:val="18"/>
                <w:szCs w:val="18"/>
              </w:rPr>
            </w:pPr>
            <w:r>
              <w:rPr>
                <w:rFonts w:hint="eastAsia" w:ascii="宋体" w:hAnsi="宋体" w:cs="宋体"/>
                <w:sz w:val="18"/>
                <w:szCs w:val="18"/>
              </w:rPr>
              <w:t>6</w:t>
            </w:r>
          </w:p>
        </w:tc>
        <w:tc>
          <w:tcPr>
            <w:tcW w:w="900" w:type="dxa"/>
            <w:tcBorders>
              <w:top w:val="nil"/>
              <w:left w:val="nil"/>
              <w:bottom w:val="single" w:color="000000" w:sz="4" w:space="0"/>
              <w:right w:val="single" w:color="000000" w:sz="4" w:space="0"/>
            </w:tcBorders>
            <w:shd w:val="clear" w:color="000000" w:fill="E4ECF7"/>
            <w:noWrap w:val="0"/>
            <w:vAlign w:val="center"/>
          </w:tcPr>
          <w:p w14:paraId="1D5E587B">
            <w:pPr>
              <w:widowControl/>
              <w:jc w:val="center"/>
              <w:rPr>
                <w:rFonts w:ascii="宋体" w:hAnsi="宋体" w:cs="宋体"/>
                <w:sz w:val="18"/>
                <w:szCs w:val="18"/>
              </w:rPr>
            </w:pPr>
            <w:r>
              <w:rPr>
                <w:rFonts w:hint="eastAsia" w:ascii="宋体" w:hAnsi="宋体" w:cs="宋体"/>
                <w:sz w:val="18"/>
                <w:szCs w:val="18"/>
              </w:rPr>
              <w:t>7</w:t>
            </w:r>
          </w:p>
        </w:tc>
        <w:tc>
          <w:tcPr>
            <w:tcW w:w="900" w:type="dxa"/>
            <w:tcBorders>
              <w:top w:val="nil"/>
              <w:left w:val="nil"/>
              <w:bottom w:val="single" w:color="000000" w:sz="4" w:space="0"/>
              <w:right w:val="single" w:color="000000" w:sz="4" w:space="0"/>
            </w:tcBorders>
            <w:shd w:val="clear" w:color="000000" w:fill="E4ECF7"/>
            <w:noWrap w:val="0"/>
            <w:vAlign w:val="center"/>
          </w:tcPr>
          <w:p w14:paraId="3C49FB0D">
            <w:pPr>
              <w:widowControl/>
              <w:jc w:val="center"/>
              <w:rPr>
                <w:rFonts w:ascii="宋体" w:hAnsi="宋体" w:cs="宋体"/>
                <w:sz w:val="18"/>
                <w:szCs w:val="18"/>
              </w:rPr>
            </w:pPr>
            <w:r>
              <w:rPr>
                <w:rFonts w:hint="eastAsia" w:ascii="宋体" w:hAnsi="宋体" w:cs="宋体"/>
                <w:sz w:val="18"/>
                <w:szCs w:val="18"/>
              </w:rPr>
              <w:t>8</w:t>
            </w:r>
          </w:p>
        </w:tc>
        <w:tc>
          <w:tcPr>
            <w:tcW w:w="900" w:type="dxa"/>
            <w:tcBorders>
              <w:top w:val="nil"/>
              <w:left w:val="nil"/>
              <w:bottom w:val="single" w:color="000000" w:sz="4" w:space="0"/>
              <w:right w:val="single" w:color="000000" w:sz="4" w:space="0"/>
            </w:tcBorders>
            <w:shd w:val="clear" w:color="000000" w:fill="E4ECF7"/>
            <w:noWrap w:val="0"/>
            <w:vAlign w:val="center"/>
          </w:tcPr>
          <w:p w14:paraId="39EFCED2">
            <w:pPr>
              <w:widowControl/>
              <w:jc w:val="center"/>
              <w:rPr>
                <w:rFonts w:ascii="宋体" w:hAnsi="宋体" w:cs="宋体"/>
                <w:sz w:val="18"/>
                <w:szCs w:val="18"/>
              </w:rPr>
            </w:pPr>
            <w:r>
              <w:rPr>
                <w:rFonts w:hint="eastAsia" w:ascii="宋体" w:hAnsi="宋体" w:cs="宋体"/>
                <w:sz w:val="18"/>
                <w:szCs w:val="18"/>
              </w:rPr>
              <w:t>9</w:t>
            </w:r>
          </w:p>
        </w:tc>
      </w:tr>
      <w:tr w14:paraId="4D4642E3">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noWrap w:val="0"/>
            <w:vAlign w:val="center"/>
          </w:tcPr>
          <w:p w14:paraId="0EF297C0">
            <w:pPr>
              <w:widowControl/>
              <w:jc w:val="center"/>
              <w:rPr>
                <w:rFonts w:ascii="宋体" w:hAnsi="宋体" w:cs="宋体"/>
                <w:sz w:val="18"/>
                <w:szCs w:val="18"/>
              </w:rPr>
            </w:pPr>
            <w:r>
              <w:rPr>
                <w:rFonts w:hint="eastAsia" w:ascii="宋体" w:hAnsi="宋体" w:cs="宋体"/>
                <w:sz w:val="18"/>
                <w:szCs w:val="18"/>
              </w:rPr>
              <w:t>6</w:t>
            </w:r>
          </w:p>
        </w:tc>
        <w:tc>
          <w:tcPr>
            <w:tcW w:w="1600" w:type="dxa"/>
            <w:tcBorders>
              <w:top w:val="nil"/>
              <w:left w:val="nil"/>
              <w:bottom w:val="single" w:color="000000" w:sz="4" w:space="0"/>
              <w:right w:val="single" w:color="000000" w:sz="4" w:space="0"/>
            </w:tcBorders>
            <w:noWrap w:val="0"/>
            <w:vAlign w:val="top"/>
          </w:tcPr>
          <w:p w14:paraId="53CBAE12">
            <w:pPr>
              <w:widowControl/>
              <w:jc w:val="left"/>
              <w:rPr>
                <w:rFonts w:ascii="宋体" w:hAnsi="宋体" w:cs="宋体"/>
                <w:sz w:val="18"/>
                <w:szCs w:val="18"/>
              </w:rPr>
            </w:pPr>
            <w:r>
              <w:rPr>
                <w:rFonts w:hint="eastAsia" w:ascii="宋体" w:hAnsi="宋体" w:cs="宋体"/>
                <w:sz w:val="18"/>
                <w:szCs w:val="18"/>
              </w:rPr>
              <w:t>01-区直机关党的建设</w:t>
            </w:r>
          </w:p>
        </w:tc>
        <w:tc>
          <w:tcPr>
            <w:tcW w:w="1260" w:type="dxa"/>
            <w:tcBorders>
              <w:top w:val="nil"/>
              <w:left w:val="nil"/>
              <w:bottom w:val="single" w:color="000000" w:sz="4" w:space="0"/>
              <w:right w:val="single" w:color="000000" w:sz="4" w:space="0"/>
            </w:tcBorders>
            <w:noWrap w:val="0"/>
            <w:vAlign w:val="top"/>
          </w:tcPr>
          <w:p w14:paraId="658BE6CF">
            <w:pPr>
              <w:widowControl/>
              <w:jc w:val="right"/>
              <w:rPr>
                <w:rFonts w:ascii="宋体" w:hAnsi="宋体" w:cs="宋体"/>
                <w:sz w:val="18"/>
                <w:szCs w:val="18"/>
              </w:rPr>
            </w:pPr>
            <w:r>
              <w:rPr>
                <w:rFonts w:hint="eastAsia" w:ascii="宋体" w:hAnsi="宋体" w:cs="宋体"/>
                <w:sz w:val="18"/>
                <w:szCs w:val="18"/>
              </w:rPr>
              <w:t>0.000000</w:t>
            </w:r>
          </w:p>
        </w:tc>
        <w:tc>
          <w:tcPr>
            <w:tcW w:w="3000" w:type="dxa"/>
            <w:tcBorders>
              <w:top w:val="nil"/>
              <w:left w:val="nil"/>
              <w:bottom w:val="single" w:color="000000" w:sz="4" w:space="0"/>
              <w:right w:val="single" w:color="000000" w:sz="4" w:space="0"/>
            </w:tcBorders>
            <w:noWrap w:val="0"/>
            <w:vAlign w:val="top"/>
          </w:tcPr>
          <w:p w14:paraId="4DAAE4D6">
            <w:pPr>
              <w:widowControl/>
              <w:jc w:val="left"/>
              <w:rPr>
                <w:rFonts w:ascii="宋体" w:hAnsi="宋体" w:cs="宋体"/>
                <w:sz w:val="18"/>
                <w:szCs w:val="18"/>
              </w:rPr>
            </w:pPr>
            <w:r>
              <w:rPr>
                <w:rFonts w:hint="eastAsia" w:ascii="宋体" w:hAnsi="宋体" w:cs="宋体"/>
                <w:sz w:val="18"/>
                <w:szCs w:val="18"/>
              </w:rPr>
              <w:t>加强区直机关党的思想政治建设、组织建设、作风建设、制度建设和反腐倡廉建设，做好区直机关其他党建工作。</w:t>
            </w:r>
          </w:p>
        </w:tc>
        <w:tc>
          <w:tcPr>
            <w:tcW w:w="2080" w:type="dxa"/>
            <w:tcBorders>
              <w:top w:val="nil"/>
              <w:left w:val="nil"/>
              <w:bottom w:val="single" w:color="000000" w:sz="4" w:space="0"/>
              <w:right w:val="single" w:color="000000" w:sz="4" w:space="0"/>
            </w:tcBorders>
            <w:noWrap w:val="0"/>
            <w:vAlign w:val="top"/>
          </w:tcPr>
          <w:p w14:paraId="668C9272">
            <w:pPr>
              <w:widowControl/>
              <w:jc w:val="left"/>
              <w:rPr>
                <w:rFonts w:ascii="宋体" w:hAnsi="宋体" w:cs="宋体"/>
                <w:sz w:val="18"/>
                <w:szCs w:val="18"/>
              </w:rPr>
            </w:pPr>
            <w:r>
              <w:rPr>
                <w:rFonts w:hint="eastAsia" w:ascii="宋体" w:hAnsi="宋体" w:cs="宋体"/>
                <w:sz w:val="18"/>
                <w:szCs w:val="18"/>
              </w:rPr>
              <w:t>政治觉悟和思想道德素质明显提高；党组织战斗堡垒作用和党员先锋模范作用进一步增强；其他党建工作得到有效落实。</w:t>
            </w:r>
          </w:p>
        </w:tc>
        <w:tc>
          <w:tcPr>
            <w:tcW w:w="1360" w:type="dxa"/>
            <w:tcBorders>
              <w:top w:val="nil"/>
              <w:left w:val="nil"/>
              <w:bottom w:val="single" w:color="000000" w:sz="4" w:space="0"/>
              <w:right w:val="single" w:color="000000" w:sz="4" w:space="0"/>
            </w:tcBorders>
            <w:noWrap w:val="0"/>
            <w:vAlign w:val="top"/>
          </w:tcPr>
          <w:p w14:paraId="2DE19F8B">
            <w:pPr>
              <w:widowControl/>
              <w:jc w:val="left"/>
              <w:rPr>
                <w:rFonts w:ascii="宋体" w:hAnsi="宋体" w:cs="宋体"/>
                <w:sz w:val="18"/>
                <w:szCs w:val="18"/>
              </w:rPr>
            </w:pPr>
            <w:r>
              <w:rPr>
                <w:rFonts w:hint="eastAsia" w:ascii="宋体" w:hAnsi="宋体" w:cs="宋体"/>
                <w:sz w:val="18"/>
                <w:szCs w:val="18"/>
              </w:rPr>
              <w:t>　</w:t>
            </w:r>
          </w:p>
        </w:tc>
        <w:tc>
          <w:tcPr>
            <w:tcW w:w="900" w:type="dxa"/>
            <w:tcBorders>
              <w:top w:val="nil"/>
              <w:left w:val="nil"/>
              <w:bottom w:val="single" w:color="000000" w:sz="4" w:space="0"/>
              <w:right w:val="single" w:color="000000" w:sz="4" w:space="0"/>
            </w:tcBorders>
            <w:noWrap w:val="0"/>
            <w:vAlign w:val="top"/>
          </w:tcPr>
          <w:p w14:paraId="6A036A5C">
            <w:pPr>
              <w:widowControl/>
              <w:jc w:val="left"/>
              <w:rPr>
                <w:rFonts w:ascii="宋体" w:hAnsi="宋体" w:cs="宋体"/>
                <w:sz w:val="18"/>
                <w:szCs w:val="18"/>
              </w:rPr>
            </w:pPr>
            <w:r>
              <w:rPr>
                <w:rFonts w:hint="eastAsia" w:ascii="宋体" w:hAnsi="宋体" w:cs="宋体"/>
                <w:sz w:val="18"/>
                <w:szCs w:val="18"/>
              </w:rPr>
              <w:t>　</w:t>
            </w:r>
          </w:p>
        </w:tc>
        <w:tc>
          <w:tcPr>
            <w:tcW w:w="900" w:type="dxa"/>
            <w:tcBorders>
              <w:top w:val="nil"/>
              <w:left w:val="nil"/>
              <w:bottom w:val="single" w:color="000000" w:sz="4" w:space="0"/>
              <w:right w:val="single" w:color="000000" w:sz="4" w:space="0"/>
            </w:tcBorders>
            <w:noWrap w:val="0"/>
            <w:vAlign w:val="top"/>
          </w:tcPr>
          <w:p w14:paraId="70BAD3D9">
            <w:pPr>
              <w:widowControl/>
              <w:jc w:val="left"/>
              <w:rPr>
                <w:rFonts w:ascii="宋体" w:hAnsi="宋体" w:cs="宋体"/>
                <w:sz w:val="18"/>
                <w:szCs w:val="18"/>
              </w:rPr>
            </w:pPr>
            <w:r>
              <w:rPr>
                <w:rFonts w:hint="eastAsia" w:ascii="宋体" w:hAnsi="宋体" w:cs="宋体"/>
                <w:sz w:val="18"/>
                <w:szCs w:val="18"/>
              </w:rPr>
              <w:t>　</w:t>
            </w:r>
          </w:p>
        </w:tc>
        <w:tc>
          <w:tcPr>
            <w:tcW w:w="900" w:type="dxa"/>
            <w:tcBorders>
              <w:top w:val="nil"/>
              <w:left w:val="nil"/>
              <w:bottom w:val="single" w:color="000000" w:sz="4" w:space="0"/>
              <w:right w:val="single" w:color="000000" w:sz="4" w:space="0"/>
            </w:tcBorders>
            <w:noWrap w:val="0"/>
            <w:vAlign w:val="top"/>
          </w:tcPr>
          <w:p w14:paraId="3D903365">
            <w:pPr>
              <w:widowControl/>
              <w:jc w:val="left"/>
              <w:rPr>
                <w:rFonts w:ascii="宋体" w:hAnsi="宋体" w:cs="宋体"/>
                <w:sz w:val="18"/>
                <w:szCs w:val="18"/>
              </w:rPr>
            </w:pPr>
            <w:r>
              <w:rPr>
                <w:rFonts w:hint="eastAsia" w:ascii="宋体" w:hAnsi="宋体" w:cs="宋体"/>
                <w:sz w:val="18"/>
                <w:szCs w:val="18"/>
              </w:rPr>
              <w:t>　</w:t>
            </w:r>
          </w:p>
        </w:tc>
        <w:tc>
          <w:tcPr>
            <w:tcW w:w="900" w:type="dxa"/>
            <w:tcBorders>
              <w:top w:val="nil"/>
              <w:left w:val="nil"/>
              <w:bottom w:val="single" w:color="000000" w:sz="4" w:space="0"/>
              <w:right w:val="single" w:color="000000" w:sz="4" w:space="0"/>
            </w:tcBorders>
            <w:noWrap w:val="0"/>
            <w:vAlign w:val="top"/>
          </w:tcPr>
          <w:p w14:paraId="421D2939">
            <w:pPr>
              <w:widowControl/>
              <w:jc w:val="left"/>
              <w:rPr>
                <w:rFonts w:ascii="宋体" w:hAnsi="宋体" w:cs="宋体"/>
                <w:sz w:val="18"/>
                <w:szCs w:val="18"/>
              </w:rPr>
            </w:pPr>
            <w:r>
              <w:rPr>
                <w:rFonts w:hint="eastAsia" w:ascii="宋体" w:hAnsi="宋体" w:cs="宋体"/>
                <w:sz w:val="18"/>
                <w:szCs w:val="18"/>
              </w:rPr>
              <w:t>　</w:t>
            </w:r>
          </w:p>
        </w:tc>
      </w:tr>
      <w:tr w14:paraId="45F6C122">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noWrap w:val="0"/>
            <w:vAlign w:val="center"/>
          </w:tcPr>
          <w:p w14:paraId="34AE696D">
            <w:pPr>
              <w:widowControl/>
              <w:jc w:val="center"/>
              <w:rPr>
                <w:rFonts w:ascii="宋体" w:hAnsi="宋体" w:cs="宋体"/>
                <w:sz w:val="18"/>
                <w:szCs w:val="18"/>
              </w:rPr>
            </w:pPr>
            <w:r>
              <w:rPr>
                <w:rFonts w:hint="eastAsia" w:ascii="宋体" w:hAnsi="宋体" w:cs="宋体"/>
                <w:sz w:val="18"/>
                <w:szCs w:val="18"/>
              </w:rPr>
              <w:t>7</w:t>
            </w:r>
          </w:p>
        </w:tc>
        <w:tc>
          <w:tcPr>
            <w:tcW w:w="1600" w:type="dxa"/>
            <w:vMerge w:val="restart"/>
            <w:tcBorders>
              <w:top w:val="nil"/>
              <w:left w:val="single" w:color="000000" w:sz="4" w:space="0"/>
              <w:bottom w:val="single" w:color="000000" w:sz="4" w:space="0"/>
              <w:right w:val="single" w:color="000000" w:sz="4" w:space="0"/>
            </w:tcBorders>
            <w:noWrap w:val="0"/>
            <w:vAlign w:val="top"/>
          </w:tcPr>
          <w:p w14:paraId="308CD2E8">
            <w:pPr>
              <w:widowControl/>
              <w:jc w:val="left"/>
              <w:rPr>
                <w:rFonts w:ascii="宋体" w:hAnsi="宋体" w:cs="宋体"/>
                <w:sz w:val="18"/>
                <w:szCs w:val="18"/>
              </w:rPr>
            </w:pPr>
            <w:r>
              <w:rPr>
                <w:rFonts w:hint="eastAsia" w:ascii="宋体" w:hAnsi="宋体" w:cs="宋体"/>
                <w:sz w:val="18"/>
                <w:szCs w:val="18"/>
              </w:rPr>
              <w:t>0101-思想政治建设</w:t>
            </w:r>
          </w:p>
        </w:tc>
        <w:tc>
          <w:tcPr>
            <w:tcW w:w="1260" w:type="dxa"/>
            <w:vMerge w:val="restart"/>
            <w:tcBorders>
              <w:top w:val="nil"/>
              <w:left w:val="single" w:color="000000" w:sz="4" w:space="0"/>
              <w:bottom w:val="single" w:color="000000" w:sz="4" w:space="0"/>
              <w:right w:val="single" w:color="000000" w:sz="4" w:space="0"/>
            </w:tcBorders>
            <w:noWrap w:val="0"/>
            <w:vAlign w:val="top"/>
          </w:tcPr>
          <w:p w14:paraId="74F11C4D">
            <w:pPr>
              <w:widowControl/>
              <w:jc w:val="right"/>
              <w:rPr>
                <w:rFonts w:ascii="宋体" w:hAnsi="宋体" w:cs="宋体"/>
                <w:sz w:val="18"/>
                <w:szCs w:val="18"/>
              </w:rPr>
            </w:pPr>
            <w:r>
              <w:rPr>
                <w:rFonts w:hint="eastAsia" w:ascii="宋体" w:hAnsi="宋体" w:cs="宋体"/>
                <w:sz w:val="18"/>
                <w:szCs w:val="18"/>
              </w:rPr>
              <w:t>0.000000</w:t>
            </w:r>
          </w:p>
        </w:tc>
        <w:tc>
          <w:tcPr>
            <w:tcW w:w="3000" w:type="dxa"/>
            <w:vMerge w:val="restart"/>
            <w:tcBorders>
              <w:top w:val="nil"/>
              <w:left w:val="single" w:color="000000" w:sz="4" w:space="0"/>
              <w:bottom w:val="single" w:color="000000" w:sz="4" w:space="0"/>
              <w:right w:val="single" w:color="000000" w:sz="4" w:space="0"/>
            </w:tcBorders>
            <w:noWrap w:val="0"/>
            <w:vAlign w:val="top"/>
          </w:tcPr>
          <w:p w14:paraId="668349CA">
            <w:pPr>
              <w:widowControl/>
              <w:jc w:val="left"/>
              <w:rPr>
                <w:rFonts w:ascii="宋体" w:hAnsi="宋体" w:cs="宋体"/>
                <w:sz w:val="18"/>
                <w:szCs w:val="18"/>
              </w:rPr>
            </w:pPr>
            <w:r>
              <w:rPr>
                <w:rFonts w:hint="eastAsia" w:ascii="宋体" w:hAnsi="宋体" w:cs="宋体"/>
                <w:sz w:val="18"/>
                <w:szCs w:val="18"/>
              </w:rPr>
              <w:t>指导区直机关各级党组织用马克思主义中国化的最新理论成果，教育区直党员干部树立正确的世界观、人生观和价值观；指导区直加强学习型党组织建设和中心组理论学习。负责区直精神文明建设及普法工作。</w:t>
            </w:r>
          </w:p>
        </w:tc>
        <w:tc>
          <w:tcPr>
            <w:tcW w:w="2080" w:type="dxa"/>
            <w:tcBorders>
              <w:top w:val="nil"/>
              <w:left w:val="nil"/>
              <w:bottom w:val="single" w:color="000000" w:sz="4" w:space="0"/>
              <w:right w:val="single" w:color="000000" w:sz="4" w:space="0"/>
            </w:tcBorders>
            <w:noWrap w:val="0"/>
            <w:vAlign w:val="top"/>
          </w:tcPr>
          <w:p w14:paraId="14A0D440">
            <w:pPr>
              <w:widowControl/>
              <w:jc w:val="left"/>
              <w:rPr>
                <w:rFonts w:ascii="宋体" w:hAnsi="宋体" w:cs="宋体"/>
                <w:sz w:val="18"/>
                <w:szCs w:val="18"/>
              </w:rPr>
            </w:pPr>
            <w:r>
              <w:rPr>
                <w:rFonts w:hint="eastAsia" w:ascii="宋体" w:hAnsi="宋体" w:cs="宋体"/>
                <w:sz w:val="18"/>
                <w:szCs w:val="18"/>
              </w:rPr>
              <w:t>　</w:t>
            </w:r>
          </w:p>
        </w:tc>
        <w:tc>
          <w:tcPr>
            <w:tcW w:w="1360" w:type="dxa"/>
            <w:tcBorders>
              <w:top w:val="nil"/>
              <w:left w:val="nil"/>
              <w:bottom w:val="single" w:color="000000" w:sz="4" w:space="0"/>
              <w:right w:val="single" w:color="000000" w:sz="4" w:space="0"/>
            </w:tcBorders>
            <w:noWrap w:val="0"/>
            <w:vAlign w:val="top"/>
          </w:tcPr>
          <w:p w14:paraId="6E392814">
            <w:pPr>
              <w:widowControl/>
              <w:jc w:val="left"/>
              <w:rPr>
                <w:rFonts w:ascii="宋体" w:hAnsi="宋体" w:cs="宋体"/>
                <w:sz w:val="18"/>
                <w:szCs w:val="18"/>
              </w:rPr>
            </w:pPr>
            <w:r>
              <w:rPr>
                <w:rFonts w:hint="eastAsia" w:ascii="宋体" w:hAnsi="宋体" w:cs="宋体"/>
                <w:sz w:val="18"/>
                <w:szCs w:val="18"/>
              </w:rPr>
              <w:t>干部职工参与率</w:t>
            </w:r>
          </w:p>
        </w:tc>
        <w:tc>
          <w:tcPr>
            <w:tcW w:w="900" w:type="dxa"/>
            <w:tcBorders>
              <w:top w:val="nil"/>
              <w:left w:val="nil"/>
              <w:bottom w:val="single" w:color="000000" w:sz="4" w:space="0"/>
              <w:right w:val="single" w:color="000000" w:sz="4" w:space="0"/>
            </w:tcBorders>
            <w:noWrap w:val="0"/>
            <w:vAlign w:val="top"/>
          </w:tcPr>
          <w:p w14:paraId="0381D8D5">
            <w:pPr>
              <w:widowControl/>
              <w:jc w:val="left"/>
              <w:rPr>
                <w:rFonts w:ascii="宋体" w:hAnsi="宋体" w:cs="宋体"/>
                <w:sz w:val="18"/>
                <w:szCs w:val="18"/>
              </w:rPr>
            </w:pPr>
            <w:r>
              <w:rPr>
                <w:rFonts w:hint="eastAsia" w:ascii="宋体" w:hAnsi="宋体" w:cs="宋体"/>
                <w:sz w:val="18"/>
                <w:szCs w:val="18"/>
              </w:rPr>
              <w:t>100%</w:t>
            </w:r>
          </w:p>
        </w:tc>
        <w:tc>
          <w:tcPr>
            <w:tcW w:w="900" w:type="dxa"/>
            <w:tcBorders>
              <w:top w:val="nil"/>
              <w:left w:val="nil"/>
              <w:bottom w:val="single" w:color="000000" w:sz="4" w:space="0"/>
              <w:right w:val="single" w:color="000000" w:sz="4" w:space="0"/>
            </w:tcBorders>
            <w:noWrap w:val="0"/>
            <w:vAlign w:val="top"/>
          </w:tcPr>
          <w:p w14:paraId="0D28966D">
            <w:pPr>
              <w:widowControl/>
              <w:jc w:val="left"/>
              <w:rPr>
                <w:rFonts w:ascii="宋体" w:hAnsi="宋体" w:cs="宋体"/>
                <w:sz w:val="18"/>
                <w:szCs w:val="18"/>
              </w:rPr>
            </w:pPr>
            <w:r>
              <w:rPr>
                <w:rFonts w:hint="eastAsia" w:ascii="宋体" w:hAnsi="宋体" w:cs="宋体"/>
                <w:sz w:val="18"/>
                <w:szCs w:val="18"/>
              </w:rPr>
              <w:t>≥95%</w:t>
            </w:r>
          </w:p>
        </w:tc>
        <w:tc>
          <w:tcPr>
            <w:tcW w:w="900" w:type="dxa"/>
            <w:tcBorders>
              <w:top w:val="nil"/>
              <w:left w:val="nil"/>
              <w:bottom w:val="single" w:color="000000" w:sz="4" w:space="0"/>
              <w:right w:val="single" w:color="000000" w:sz="4" w:space="0"/>
            </w:tcBorders>
            <w:noWrap w:val="0"/>
            <w:vAlign w:val="top"/>
          </w:tcPr>
          <w:p w14:paraId="58A0CDEA">
            <w:pPr>
              <w:widowControl/>
              <w:jc w:val="left"/>
              <w:rPr>
                <w:rFonts w:ascii="宋体" w:hAnsi="宋体" w:cs="宋体"/>
                <w:sz w:val="18"/>
                <w:szCs w:val="18"/>
              </w:rPr>
            </w:pPr>
            <w:r>
              <w:rPr>
                <w:rFonts w:hint="eastAsia" w:ascii="宋体" w:hAnsi="宋体" w:cs="宋体"/>
                <w:sz w:val="18"/>
                <w:szCs w:val="18"/>
              </w:rPr>
              <w:t>≥90%</w:t>
            </w:r>
          </w:p>
        </w:tc>
        <w:tc>
          <w:tcPr>
            <w:tcW w:w="900" w:type="dxa"/>
            <w:tcBorders>
              <w:top w:val="nil"/>
              <w:left w:val="nil"/>
              <w:bottom w:val="single" w:color="000000" w:sz="4" w:space="0"/>
              <w:right w:val="single" w:color="000000" w:sz="4" w:space="0"/>
            </w:tcBorders>
            <w:noWrap w:val="0"/>
            <w:vAlign w:val="top"/>
          </w:tcPr>
          <w:p w14:paraId="4D25431B">
            <w:pPr>
              <w:widowControl/>
              <w:jc w:val="left"/>
              <w:rPr>
                <w:rFonts w:ascii="宋体" w:hAnsi="宋体" w:cs="宋体"/>
                <w:sz w:val="18"/>
                <w:szCs w:val="18"/>
              </w:rPr>
            </w:pPr>
            <w:r>
              <w:rPr>
                <w:rFonts w:hint="eastAsia" w:ascii="宋体" w:hAnsi="宋体" w:cs="宋体"/>
                <w:sz w:val="18"/>
                <w:szCs w:val="18"/>
              </w:rPr>
              <w:t>&lt;90%</w:t>
            </w:r>
          </w:p>
        </w:tc>
      </w:tr>
      <w:tr w14:paraId="61942E54">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noWrap w:val="0"/>
            <w:vAlign w:val="center"/>
          </w:tcPr>
          <w:p w14:paraId="45085952">
            <w:pPr>
              <w:widowControl/>
              <w:jc w:val="center"/>
              <w:rPr>
                <w:rFonts w:ascii="宋体" w:hAnsi="宋体" w:cs="宋体"/>
                <w:sz w:val="18"/>
                <w:szCs w:val="18"/>
              </w:rPr>
            </w:pPr>
            <w:r>
              <w:rPr>
                <w:rFonts w:hint="eastAsia" w:ascii="宋体" w:hAnsi="宋体" w:cs="宋体"/>
                <w:sz w:val="18"/>
                <w:szCs w:val="18"/>
              </w:rPr>
              <w:t>8</w:t>
            </w:r>
          </w:p>
        </w:tc>
        <w:tc>
          <w:tcPr>
            <w:tcW w:w="1600" w:type="dxa"/>
            <w:vMerge w:val="continue"/>
            <w:tcBorders>
              <w:top w:val="nil"/>
              <w:left w:val="single" w:color="000000" w:sz="4" w:space="0"/>
              <w:bottom w:val="single" w:color="000000" w:sz="4" w:space="0"/>
              <w:right w:val="single" w:color="000000" w:sz="4" w:space="0"/>
            </w:tcBorders>
            <w:noWrap w:val="0"/>
            <w:vAlign w:val="center"/>
          </w:tcPr>
          <w:p w14:paraId="7690468B">
            <w:pPr>
              <w:widowControl/>
              <w:jc w:val="left"/>
              <w:rPr>
                <w:rFonts w:ascii="宋体" w:hAnsi="宋体" w:cs="宋体"/>
                <w:sz w:val="18"/>
                <w:szCs w:val="18"/>
              </w:rPr>
            </w:pPr>
          </w:p>
        </w:tc>
        <w:tc>
          <w:tcPr>
            <w:tcW w:w="1260" w:type="dxa"/>
            <w:vMerge w:val="continue"/>
            <w:tcBorders>
              <w:top w:val="nil"/>
              <w:left w:val="single" w:color="000000" w:sz="4" w:space="0"/>
              <w:bottom w:val="single" w:color="000000" w:sz="4" w:space="0"/>
              <w:right w:val="single" w:color="000000" w:sz="4" w:space="0"/>
            </w:tcBorders>
            <w:noWrap w:val="0"/>
            <w:vAlign w:val="center"/>
          </w:tcPr>
          <w:p w14:paraId="2BEB63A1">
            <w:pPr>
              <w:widowControl/>
              <w:jc w:val="left"/>
              <w:rPr>
                <w:rFonts w:ascii="宋体" w:hAnsi="宋体" w:cs="宋体"/>
                <w:sz w:val="18"/>
                <w:szCs w:val="18"/>
              </w:rPr>
            </w:pPr>
          </w:p>
        </w:tc>
        <w:tc>
          <w:tcPr>
            <w:tcW w:w="3000" w:type="dxa"/>
            <w:vMerge w:val="continue"/>
            <w:tcBorders>
              <w:top w:val="nil"/>
              <w:left w:val="single" w:color="000000" w:sz="4" w:space="0"/>
              <w:bottom w:val="single" w:color="000000" w:sz="4" w:space="0"/>
              <w:right w:val="single" w:color="000000" w:sz="4" w:space="0"/>
            </w:tcBorders>
            <w:noWrap w:val="0"/>
            <w:vAlign w:val="center"/>
          </w:tcPr>
          <w:p w14:paraId="3946C187">
            <w:pPr>
              <w:widowControl/>
              <w:jc w:val="left"/>
              <w:rPr>
                <w:rFonts w:ascii="宋体" w:hAnsi="宋体" w:cs="宋体"/>
                <w:sz w:val="18"/>
                <w:szCs w:val="18"/>
              </w:rPr>
            </w:pPr>
          </w:p>
        </w:tc>
        <w:tc>
          <w:tcPr>
            <w:tcW w:w="2080" w:type="dxa"/>
            <w:tcBorders>
              <w:top w:val="nil"/>
              <w:left w:val="nil"/>
              <w:bottom w:val="single" w:color="000000" w:sz="4" w:space="0"/>
              <w:right w:val="single" w:color="000000" w:sz="4" w:space="0"/>
            </w:tcBorders>
            <w:noWrap w:val="0"/>
            <w:vAlign w:val="top"/>
          </w:tcPr>
          <w:p w14:paraId="73E0AFA4">
            <w:pPr>
              <w:widowControl/>
              <w:jc w:val="left"/>
              <w:rPr>
                <w:rFonts w:ascii="宋体" w:hAnsi="宋体" w:cs="宋体"/>
                <w:sz w:val="18"/>
                <w:szCs w:val="18"/>
              </w:rPr>
            </w:pPr>
            <w:r>
              <w:rPr>
                <w:rFonts w:hint="eastAsia" w:ascii="宋体" w:hAnsi="宋体" w:cs="宋体"/>
                <w:sz w:val="18"/>
                <w:szCs w:val="18"/>
              </w:rPr>
              <w:t>　</w:t>
            </w:r>
          </w:p>
        </w:tc>
        <w:tc>
          <w:tcPr>
            <w:tcW w:w="1360" w:type="dxa"/>
            <w:tcBorders>
              <w:top w:val="nil"/>
              <w:left w:val="nil"/>
              <w:bottom w:val="single" w:color="000000" w:sz="4" w:space="0"/>
              <w:right w:val="single" w:color="000000" w:sz="4" w:space="0"/>
            </w:tcBorders>
            <w:noWrap w:val="0"/>
            <w:vAlign w:val="top"/>
          </w:tcPr>
          <w:p w14:paraId="1C97570B">
            <w:pPr>
              <w:widowControl/>
              <w:jc w:val="left"/>
              <w:rPr>
                <w:rFonts w:ascii="宋体" w:hAnsi="宋体" w:cs="宋体"/>
                <w:sz w:val="18"/>
                <w:szCs w:val="18"/>
              </w:rPr>
            </w:pPr>
            <w:r>
              <w:rPr>
                <w:rFonts w:hint="eastAsia" w:ascii="宋体" w:hAnsi="宋体" w:cs="宋体"/>
                <w:sz w:val="18"/>
                <w:szCs w:val="18"/>
              </w:rPr>
              <w:t>党员干部教育覆盖率</w:t>
            </w:r>
          </w:p>
        </w:tc>
        <w:tc>
          <w:tcPr>
            <w:tcW w:w="900" w:type="dxa"/>
            <w:tcBorders>
              <w:top w:val="nil"/>
              <w:left w:val="nil"/>
              <w:bottom w:val="single" w:color="000000" w:sz="4" w:space="0"/>
              <w:right w:val="single" w:color="000000" w:sz="4" w:space="0"/>
            </w:tcBorders>
            <w:noWrap w:val="0"/>
            <w:vAlign w:val="top"/>
          </w:tcPr>
          <w:p w14:paraId="72C998E9">
            <w:pPr>
              <w:widowControl/>
              <w:jc w:val="left"/>
              <w:rPr>
                <w:rFonts w:ascii="宋体" w:hAnsi="宋体" w:cs="宋体"/>
                <w:sz w:val="18"/>
                <w:szCs w:val="18"/>
              </w:rPr>
            </w:pPr>
            <w:r>
              <w:rPr>
                <w:rFonts w:hint="eastAsia" w:ascii="宋体" w:hAnsi="宋体" w:cs="宋体"/>
                <w:sz w:val="18"/>
                <w:szCs w:val="18"/>
              </w:rPr>
              <w:t>100%</w:t>
            </w:r>
          </w:p>
        </w:tc>
        <w:tc>
          <w:tcPr>
            <w:tcW w:w="900" w:type="dxa"/>
            <w:tcBorders>
              <w:top w:val="nil"/>
              <w:left w:val="nil"/>
              <w:bottom w:val="single" w:color="000000" w:sz="4" w:space="0"/>
              <w:right w:val="single" w:color="000000" w:sz="4" w:space="0"/>
            </w:tcBorders>
            <w:noWrap w:val="0"/>
            <w:vAlign w:val="top"/>
          </w:tcPr>
          <w:p w14:paraId="13042DD9">
            <w:pPr>
              <w:widowControl/>
              <w:jc w:val="left"/>
              <w:rPr>
                <w:rFonts w:ascii="宋体" w:hAnsi="宋体" w:cs="宋体"/>
                <w:sz w:val="18"/>
                <w:szCs w:val="18"/>
              </w:rPr>
            </w:pPr>
            <w:r>
              <w:rPr>
                <w:rFonts w:hint="eastAsia" w:ascii="宋体" w:hAnsi="宋体" w:cs="宋体"/>
                <w:sz w:val="18"/>
                <w:szCs w:val="18"/>
              </w:rPr>
              <w:t>≥90%</w:t>
            </w:r>
          </w:p>
        </w:tc>
        <w:tc>
          <w:tcPr>
            <w:tcW w:w="900" w:type="dxa"/>
            <w:tcBorders>
              <w:top w:val="nil"/>
              <w:left w:val="nil"/>
              <w:bottom w:val="single" w:color="000000" w:sz="4" w:space="0"/>
              <w:right w:val="single" w:color="000000" w:sz="4" w:space="0"/>
            </w:tcBorders>
            <w:noWrap w:val="0"/>
            <w:vAlign w:val="top"/>
          </w:tcPr>
          <w:p w14:paraId="3AA58E24">
            <w:pPr>
              <w:widowControl/>
              <w:jc w:val="left"/>
              <w:rPr>
                <w:rFonts w:ascii="宋体" w:hAnsi="宋体" w:cs="宋体"/>
                <w:sz w:val="18"/>
                <w:szCs w:val="18"/>
              </w:rPr>
            </w:pPr>
            <w:r>
              <w:rPr>
                <w:rFonts w:hint="eastAsia" w:ascii="宋体" w:hAnsi="宋体" w:cs="宋体"/>
                <w:sz w:val="18"/>
                <w:szCs w:val="18"/>
              </w:rPr>
              <w:t>≥80%</w:t>
            </w:r>
          </w:p>
        </w:tc>
        <w:tc>
          <w:tcPr>
            <w:tcW w:w="900" w:type="dxa"/>
            <w:tcBorders>
              <w:top w:val="nil"/>
              <w:left w:val="nil"/>
              <w:bottom w:val="single" w:color="000000" w:sz="4" w:space="0"/>
              <w:right w:val="single" w:color="000000" w:sz="4" w:space="0"/>
            </w:tcBorders>
            <w:noWrap w:val="0"/>
            <w:vAlign w:val="top"/>
          </w:tcPr>
          <w:p w14:paraId="69AC0422">
            <w:pPr>
              <w:widowControl/>
              <w:jc w:val="left"/>
              <w:rPr>
                <w:rFonts w:ascii="宋体" w:hAnsi="宋体" w:cs="宋体"/>
                <w:sz w:val="18"/>
                <w:szCs w:val="18"/>
              </w:rPr>
            </w:pPr>
            <w:r>
              <w:rPr>
                <w:rFonts w:hint="eastAsia" w:ascii="宋体" w:hAnsi="宋体" w:cs="宋体"/>
                <w:sz w:val="18"/>
                <w:szCs w:val="18"/>
              </w:rPr>
              <w:t>&lt;80%</w:t>
            </w:r>
          </w:p>
        </w:tc>
      </w:tr>
      <w:tr w14:paraId="71016B4A">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noWrap w:val="0"/>
            <w:vAlign w:val="center"/>
          </w:tcPr>
          <w:p w14:paraId="1B1FBD10">
            <w:pPr>
              <w:widowControl/>
              <w:jc w:val="center"/>
              <w:rPr>
                <w:rFonts w:ascii="宋体" w:hAnsi="宋体" w:cs="宋体"/>
                <w:sz w:val="18"/>
                <w:szCs w:val="18"/>
              </w:rPr>
            </w:pPr>
            <w:r>
              <w:rPr>
                <w:rFonts w:hint="eastAsia" w:ascii="宋体" w:hAnsi="宋体" w:cs="宋体"/>
                <w:sz w:val="18"/>
                <w:szCs w:val="18"/>
              </w:rPr>
              <w:t>9</w:t>
            </w:r>
          </w:p>
        </w:tc>
        <w:tc>
          <w:tcPr>
            <w:tcW w:w="1600" w:type="dxa"/>
            <w:vMerge w:val="continue"/>
            <w:tcBorders>
              <w:top w:val="nil"/>
              <w:left w:val="single" w:color="000000" w:sz="4" w:space="0"/>
              <w:bottom w:val="single" w:color="000000" w:sz="4" w:space="0"/>
              <w:right w:val="single" w:color="000000" w:sz="4" w:space="0"/>
            </w:tcBorders>
            <w:noWrap w:val="0"/>
            <w:vAlign w:val="center"/>
          </w:tcPr>
          <w:p w14:paraId="13004D94">
            <w:pPr>
              <w:widowControl/>
              <w:jc w:val="left"/>
              <w:rPr>
                <w:rFonts w:ascii="宋体" w:hAnsi="宋体" w:cs="宋体"/>
                <w:sz w:val="18"/>
                <w:szCs w:val="18"/>
              </w:rPr>
            </w:pPr>
          </w:p>
        </w:tc>
        <w:tc>
          <w:tcPr>
            <w:tcW w:w="1260" w:type="dxa"/>
            <w:vMerge w:val="continue"/>
            <w:tcBorders>
              <w:top w:val="nil"/>
              <w:left w:val="single" w:color="000000" w:sz="4" w:space="0"/>
              <w:bottom w:val="single" w:color="000000" w:sz="4" w:space="0"/>
              <w:right w:val="single" w:color="000000" w:sz="4" w:space="0"/>
            </w:tcBorders>
            <w:noWrap w:val="0"/>
            <w:vAlign w:val="center"/>
          </w:tcPr>
          <w:p w14:paraId="009C591F">
            <w:pPr>
              <w:widowControl/>
              <w:jc w:val="left"/>
              <w:rPr>
                <w:rFonts w:ascii="宋体" w:hAnsi="宋体" w:cs="宋体"/>
                <w:sz w:val="18"/>
                <w:szCs w:val="18"/>
              </w:rPr>
            </w:pPr>
          </w:p>
        </w:tc>
        <w:tc>
          <w:tcPr>
            <w:tcW w:w="3000" w:type="dxa"/>
            <w:vMerge w:val="continue"/>
            <w:tcBorders>
              <w:top w:val="nil"/>
              <w:left w:val="single" w:color="000000" w:sz="4" w:space="0"/>
              <w:bottom w:val="single" w:color="000000" w:sz="4" w:space="0"/>
              <w:right w:val="single" w:color="000000" w:sz="4" w:space="0"/>
            </w:tcBorders>
            <w:noWrap w:val="0"/>
            <w:vAlign w:val="center"/>
          </w:tcPr>
          <w:p w14:paraId="2BF24BC8">
            <w:pPr>
              <w:widowControl/>
              <w:jc w:val="left"/>
              <w:rPr>
                <w:rFonts w:ascii="宋体" w:hAnsi="宋体" w:cs="宋体"/>
                <w:sz w:val="18"/>
                <w:szCs w:val="18"/>
              </w:rPr>
            </w:pPr>
          </w:p>
        </w:tc>
        <w:tc>
          <w:tcPr>
            <w:tcW w:w="2080" w:type="dxa"/>
            <w:tcBorders>
              <w:top w:val="nil"/>
              <w:left w:val="nil"/>
              <w:bottom w:val="single" w:color="000000" w:sz="4" w:space="0"/>
              <w:right w:val="single" w:color="000000" w:sz="4" w:space="0"/>
            </w:tcBorders>
            <w:noWrap w:val="0"/>
            <w:vAlign w:val="top"/>
          </w:tcPr>
          <w:p w14:paraId="457ABF06">
            <w:pPr>
              <w:widowControl/>
              <w:jc w:val="left"/>
              <w:rPr>
                <w:rFonts w:ascii="宋体" w:hAnsi="宋体" w:cs="宋体"/>
                <w:sz w:val="18"/>
                <w:szCs w:val="18"/>
              </w:rPr>
            </w:pPr>
            <w:r>
              <w:rPr>
                <w:rFonts w:hint="eastAsia" w:ascii="宋体" w:hAnsi="宋体" w:cs="宋体"/>
                <w:sz w:val="18"/>
                <w:szCs w:val="18"/>
              </w:rPr>
              <w:t>　</w:t>
            </w:r>
          </w:p>
        </w:tc>
        <w:tc>
          <w:tcPr>
            <w:tcW w:w="1360" w:type="dxa"/>
            <w:tcBorders>
              <w:top w:val="nil"/>
              <w:left w:val="nil"/>
              <w:bottom w:val="single" w:color="000000" w:sz="4" w:space="0"/>
              <w:right w:val="single" w:color="000000" w:sz="4" w:space="0"/>
            </w:tcBorders>
            <w:noWrap w:val="0"/>
            <w:vAlign w:val="top"/>
          </w:tcPr>
          <w:p w14:paraId="4EF1BBF8">
            <w:pPr>
              <w:widowControl/>
              <w:jc w:val="left"/>
              <w:rPr>
                <w:rFonts w:ascii="宋体" w:hAnsi="宋体" w:cs="宋体"/>
                <w:sz w:val="18"/>
                <w:szCs w:val="18"/>
              </w:rPr>
            </w:pPr>
            <w:r>
              <w:rPr>
                <w:rFonts w:hint="eastAsia" w:ascii="宋体" w:hAnsi="宋体" w:cs="宋体"/>
                <w:sz w:val="18"/>
                <w:szCs w:val="18"/>
              </w:rPr>
              <w:t>思想教育活动完成率</w:t>
            </w:r>
          </w:p>
        </w:tc>
        <w:tc>
          <w:tcPr>
            <w:tcW w:w="900" w:type="dxa"/>
            <w:tcBorders>
              <w:top w:val="nil"/>
              <w:left w:val="nil"/>
              <w:bottom w:val="single" w:color="000000" w:sz="4" w:space="0"/>
              <w:right w:val="single" w:color="000000" w:sz="4" w:space="0"/>
            </w:tcBorders>
            <w:noWrap w:val="0"/>
            <w:vAlign w:val="top"/>
          </w:tcPr>
          <w:p w14:paraId="7CAD85D9">
            <w:pPr>
              <w:widowControl/>
              <w:jc w:val="left"/>
              <w:rPr>
                <w:rFonts w:ascii="宋体" w:hAnsi="宋体" w:cs="宋体"/>
                <w:sz w:val="18"/>
                <w:szCs w:val="18"/>
              </w:rPr>
            </w:pPr>
            <w:r>
              <w:rPr>
                <w:rFonts w:hint="eastAsia" w:ascii="宋体" w:hAnsi="宋体" w:cs="宋体"/>
                <w:sz w:val="18"/>
                <w:szCs w:val="18"/>
              </w:rPr>
              <w:t>100%</w:t>
            </w:r>
          </w:p>
        </w:tc>
        <w:tc>
          <w:tcPr>
            <w:tcW w:w="900" w:type="dxa"/>
            <w:tcBorders>
              <w:top w:val="nil"/>
              <w:left w:val="nil"/>
              <w:bottom w:val="single" w:color="000000" w:sz="4" w:space="0"/>
              <w:right w:val="single" w:color="000000" w:sz="4" w:space="0"/>
            </w:tcBorders>
            <w:noWrap w:val="0"/>
            <w:vAlign w:val="top"/>
          </w:tcPr>
          <w:p w14:paraId="080BB170">
            <w:pPr>
              <w:widowControl/>
              <w:jc w:val="left"/>
              <w:rPr>
                <w:rFonts w:ascii="宋体" w:hAnsi="宋体" w:cs="宋体"/>
                <w:sz w:val="18"/>
                <w:szCs w:val="18"/>
              </w:rPr>
            </w:pPr>
            <w:r>
              <w:rPr>
                <w:rFonts w:hint="eastAsia" w:ascii="宋体" w:hAnsi="宋体" w:cs="宋体"/>
                <w:sz w:val="18"/>
                <w:szCs w:val="18"/>
              </w:rPr>
              <w:t>≥90%</w:t>
            </w:r>
          </w:p>
        </w:tc>
        <w:tc>
          <w:tcPr>
            <w:tcW w:w="900" w:type="dxa"/>
            <w:tcBorders>
              <w:top w:val="nil"/>
              <w:left w:val="nil"/>
              <w:bottom w:val="single" w:color="000000" w:sz="4" w:space="0"/>
              <w:right w:val="single" w:color="000000" w:sz="4" w:space="0"/>
            </w:tcBorders>
            <w:noWrap w:val="0"/>
            <w:vAlign w:val="top"/>
          </w:tcPr>
          <w:p w14:paraId="49ADA512">
            <w:pPr>
              <w:widowControl/>
              <w:jc w:val="left"/>
              <w:rPr>
                <w:rFonts w:ascii="宋体" w:hAnsi="宋体" w:cs="宋体"/>
                <w:sz w:val="18"/>
                <w:szCs w:val="18"/>
              </w:rPr>
            </w:pPr>
            <w:r>
              <w:rPr>
                <w:rFonts w:hint="eastAsia" w:ascii="宋体" w:hAnsi="宋体" w:cs="宋体"/>
                <w:sz w:val="18"/>
                <w:szCs w:val="18"/>
              </w:rPr>
              <w:t>≥80%</w:t>
            </w:r>
          </w:p>
        </w:tc>
        <w:tc>
          <w:tcPr>
            <w:tcW w:w="900" w:type="dxa"/>
            <w:tcBorders>
              <w:top w:val="nil"/>
              <w:left w:val="nil"/>
              <w:bottom w:val="single" w:color="000000" w:sz="4" w:space="0"/>
              <w:right w:val="single" w:color="000000" w:sz="4" w:space="0"/>
            </w:tcBorders>
            <w:noWrap w:val="0"/>
            <w:vAlign w:val="top"/>
          </w:tcPr>
          <w:p w14:paraId="33503C0D">
            <w:pPr>
              <w:widowControl/>
              <w:jc w:val="left"/>
              <w:rPr>
                <w:rFonts w:ascii="宋体" w:hAnsi="宋体" w:cs="宋体"/>
                <w:sz w:val="18"/>
                <w:szCs w:val="18"/>
              </w:rPr>
            </w:pPr>
            <w:r>
              <w:rPr>
                <w:rFonts w:hint="eastAsia" w:ascii="宋体" w:hAnsi="宋体" w:cs="宋体"/>
                <w:sz w:val="18"/>
                <w:szCs w:val="18"/>
              </w:rPr>
              <w:t>&lt;80%</w:t>
            </w:r>
          </w:p>
        </w:tc>
      </w:tr>
      <w:tr w14:paraId="220D1B70">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noWrap w:val="0"/>
            <w:vAlign w:val="center"/>
          </w:tcPr>
          <w:p w14:paraId="334CEAFA">
            <w:pPr>
              <w:widowControl/>
              <w:jc w:val="center"/>
              <w:rPr>
                <w:rFonts w:ascii="宋体" w:hAnsi="宋体" w:cs="宋体"/>
                <w:sz w:val="18"/>
                <w:szCs w:val="18"/>
              </w:rPr>
            </w:pPr>
            <w:r>
              <w:rPr>
                <w:rFonts w:hint="eastAsia" w:ascii="宋体" w:hAnsi="宋体" w:cs="宋体"/>
                <w:sz w:val="18"/>
                <w:szCs w:val="18"/>
              </w:rPr>
              <w:t>10</w:t>
            </w:r>
          </w:p>
        </w:tc>
        <w:tc>
          <w:tcPr>
            <w:tcW w:w="1600" w:type="dxa"/>
            <w:vMerge w:val="continue"/>
            <w:tcBorders>
              <w:top w:val="nil"/>
              <w:left w:val="single" w:color="000000" w:sz="4" w:space="0"/>
              <w:bottom w:val="single" w:color="000000" w:sz="4" w:space="0"/>
              <w:right w:val="single" w:color="000000" w:sz="4" w:space="0"/>
            </w:tcBorders>
            <w:noWrap w:val="0"/>
            <w:vAlign w:val="center"/>
          </w:tcPr>
          <w:p w14:paraId="65BBC84F">
            <w:pPr>
              <w:widowControl/>
              <w:jc w:val="left"/>
              <w:rPr>
                <w:rFonts w:ascii="宋体" w:hAnsi="宋体" w:cs="宋体"/>
                <w:sz w:val="18"/>
                <w:szCs w:val="18"/>
              </w:rPr>
            </w:pPr>
          </w:p>
        </w:tc>
        <w:tc>
          <w:tcPr>
            <w:tcW w:w="1260" w:type="dxa"/>
            <w:vMerge w:val="continue"/>
            <w:tcBorders>
              <w:top w:val="nil"/>
              <w:left w:val="single" w:color="000000" w:sz="4" w:space="0"/>
              <w:bottom w:val="single" w:color="000000" w:sz="4" w:space="0"/>
              <w:right w:val="single" w:color="000000" w:sz="4" w:space="0"/>
            </w:tcBorders>
            <w:noWrap w:val="0"/>
            <w:vAlign w:val="center"/>
          </w:tcPr>
          <w:p w14:paraId="77C14E74">
            <w:pPr>
              <w:widowControl/>
              <w:jc w:val="left"/>
              <w:rPr>
                <w:rFonts w:ascii="宋体" w:hAnsi="宋体" w:cs="宋体"/>
                <w:sz w:val="18"/>
                <w:szCs w:val="18"/>
              </w:rPr>
            </w:pPr>
          </w:p>
        </w:tc>
        <w:tc>
          <w:tcPr>
            <w:tcW w:w="3000" w:type="dxa"/>
            <w:vMerge w:val="continue"/>
            <w:tcBorders>
              <w:top w:val="nil"/>
              <w:left w:val="single" w:color="000000" w:sz="4" w:space="0"/>
              <w:bottom w:val="single" w:color="000000" w:sz="4" w:space="0"/>
              <w:right w:val="single" w:color="000000" w:sz="4" w:space="0"/>
            </w:tcBorders>
            <w:noWrap w:val="0"/>
            <w:vAlign w:val="center"/>
          </w:tcPr>
          <w:p w14:paraId="0B6C4057">
            <w:pPr>
              <w:widowControl/>
              <w:jc w:val="left"/>
              <w:rPr>
                <w:rFonts w:ascii="宋体" w:hAnsi="宋体" w:cs="宋体"/>
                <w:sz w:val="18"/>
                <w:szCs w:val="18"/>
              </w:rPr>
            </w:pPr>
          </w:p>
        </w:tc>
        <w:tc>
          <w:tcPr>
            <w:tcW w:w="2080" w:type="dxa"/>
            <w:tcBorders>
              <w:top w:val="nil"/>
              <w:left w:val="nil"/>
              <w:bottom w:val="single" w:color="000000" w:sz="4" w:space="0"/>
              <w:right w:val="single" w:color="000000" w:sz="4" w:space="0"/>
            </w:tcBorders>
            <w:noWrap w:val="0"/>
            <w:vAlign w:val="top"/>
          </w:tcPr>
          <w:p w14:paraId="1652551B">
            <w:pPr>
              <w:widowControl/>
              <w:jc w:val="left"/>
              <w:rPr>
                <w:rFonts w:ascii="宋体" w:hAnsi="宋体" w:cs="宋体"/>
                <w:sz w:val="18"/>
                <w:szCs w:val="18"/>
              </w:rPr>
            </w:pPr>
            <w:r>
              <w:rPr>
                <w:rFonts w:hint="eastAsia" w:ascii="宋体" w:hAnsi="宋体" w:cs="宋体"/>
                <w:sz w:val="18"/>
                <w:szCs w:val="18"/>
              </w:rPr>
              <w:t>　</w:t>
            </w:r>
          </w:p>
        </w:tc>
        <w:tc>
          <w:tcPr>
            <w:tcW w:w="1360" w:type="dxa"/>
            <w:tcBorders>
              <w:top w:val="nil"/>
              <w:left w:val="nil"/>
              <w:bottom w:val="single" w:color="000000" w:sz="4" w:space="0"/>
              <w:right w:val="single" w:color="000000" w:sz="4" w:space="0"/>
            </w:tcBorders>
            <w:noWrap w:val="0"/>
            <w:vAlign w:val="top"/>
          </w:tcPr>
          <w:p w14:paraId="6CC45037">
            <w:pPr>
              <w:widowControl/>
              <w:jc w:val="left"/>
              <w:rPr>
                <w:rFonts w:ascii="宋体" w:hAnsi="宋体" w:cs="宋体"/>
                <w:sz w:val="18"/>
                <w:szCs w:val="18"/>
              </w:rPr>
            </w:pPr>
            <w:r>
              <w:rPr>
                <w:rFonts w:hint="eastAsia" w:ascii="宋体" w:hAnsi="宋体" w:cs="宋体"/>
                <w:sz w:val="18"/>
                <w:szCs w:val="18"/>
              </w:rPr>
              <w:t>领导干部参与率</w:t>
            </w:r>
          </w:p>
        </w:tc>
        <w:tc>
          <w:tcPr>
            <w:tcW w:w="900" w:type="dxa"/>
            <w:tcBorders>
              <w:top w:val="nil"/>
              <w:left w:val="nil"/>
              <w:bottom w:val="single" w:color="000000" w:sz="4" w:space="0"/>
              <w:right w:val="single" w:color="000000" w:sz="4" w:space="0"/>
            </w:tcBorders>
            <w:noWrap w:val="0"/>
            <w:vAlign w:val="top"/>
          </w:tcPr>
          <w:p w14:paraId="73E66563">
            <w:pPr>
              <w:widowControl/>
              <w:jc w:val="left"/>
              <w:rPr>
                <w:rFonts w:ascii="宋体" w:hAnsi="宋体" w:cs="宋体"/>
                <w:sz w:val="18"/>
                <w:szCs w:val="18"/>
              </w:rPr>
            </w:pPr>
            <w:r>
              <w:rPr>
                <w:rFonts w:hint="eastAsia" w:ascii="宋体" w:hAnsi="宋体" w:cs="宋体"/>
                <w:sz w:val="18"/>
                <w:szCs w:val="18"/>
              </w:rPr>
              <w:t>100%</w:t>
            </w:r>
          </w:p>
        </w:tc>
        <w:tc>
          <w:tcPr>
            <w:tcW w:w="900" w:type="dxa"/>
            <w:tcBorders>
              <w:top w:val="nil"/>
              <w:left w:val="nil"/>
              <w:bottom w:val="single" w:color="000000" w:sz="4" w:space="0"/>
              <w:right w:val="single" w:color="000000" w:sz="4" w:space="0"/>
            </w:tcBorders>
            <w:noWrap w:val="0"/>
            <w:vAlign w:val="top"/>
          </w:tcPr>
          <w:p w14:paraId="62F50985">
            <w:pPr>
              <w:widowControl/>
              <w:jc w:val="left"/>
              <w:rPr>
                <w:rFonts w:ascii="宋体" w:hAnsi="宋体" w:cs="宋体"/>
                <w:sz w:val="18"/>
                <w:szCs w:val="18"/>
              </w:rPr>
            </w:pPr>
            <w:r>
              <w:rPr>
                <w:rFonts w:hint="eastAsia" w:ascii="宋体" w:hAnsi="宋体" w:cs="宋体"/>
                <w:sz w:val="18"/>
                <w:szCs w:val="18"/>
              </w:rPr>
              <w:t>≥95%</w:t>
            </w:r>
          </w:p>
        </w:tc>
        <w:tc>
          <w:tcPr>
            <w:tcW w:w="900" w:type="dxa"/>
            <w:tcBorders>
              <w:top w:val="nil"/>
              <w:left w:val="nil"/>
              <w:bottom w:val="single" w:color="000000" w:sz="4" w:space="0"/>
              <w:right w:val="single" w:color="000000" w:sz="4" w:space="0"/>
            </w:tcBorders>
            <w:noWrap w:val="0"/>
            <w:vAlign w:val="top"/>
          </w:tcPr>
          <w:p w14:paraId="2B49D99C">
            <w:pPr>
              <w:widowControl/>
              <w:jc w:val="left"/>
              <w:rPr>
                <w:rFonts w:ascii="宋体" w:hAnsi="宋体" w:cs="宋体"/>
                <w:sz w:val="18"/>
                <w:szCs w:val="18"/>
              </w:rPr>
            </w:pPr>
            <w:r>
              <w:rPr>
                <w:rFonts w:hint="eastAsia" w:ascii="宋体" w:hAnsi="宋体" w:cs="宋体"/>
                <w:sz w:val="18"/>
                <w:szCs w:val="18"/>
              </w:rPr>
              <w:t>≥90%</w:t>
            </w:r>
          </w:p>
        </w:tc>
        <w:tc>
          <w:tcPr>
            <w:tcW w:w="900" w:type="dxa"/>
            <w:tcBorders>
              <w:top w:val="nil"/>
              <w:left w:val="nil"/>
              <w:bottom w:val="single" w:color="000000" w:sz="4" w:space="0"/>
              <w:right w:val="single" w:color="000000" w:sz="4" w:space="0"/>
            </w:tcBorders>
            <w:noWrap w:val="0"/>
            <w:vAlign w:val="top"/>
          </w:tcPr>
          <w:p w14:paraId="73715A90">
            <w:pPr>
              <w:widowControl/>
              <w:jc w:val="left"/>
              <w:rPr>
                <w:rFonts w:ascii="宋体" w:hAnsi="宋体" w:cs="宋体"/>
                <w:sz w:val="18"/>
                <w:szCs w:val="18"/>
              </w:rPr>
            </w:pPr>
            <w:r>
              <w:rPr>
                <w:rFonts w:hint="eastAsia" w:ascii="宋体" w:hAnsi="宋体" w:cs="宋体"/>
                <w:sz w:val="18"/>
                <w:szCs w:val="18"/>
              </w:rPr>
              <w:t>&lt;90%</w:t>
            </w:r>
          </w:p>
        </w:tc>
      </w:tr>
      <w:tr w14:paraId="54D9ABFB">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noWrap w:val="0"/>
            <w:vAlign w:val="center"/>
          </w:tcPr>
          <w:p w14:paraId="13B7FAF8">
            <w:pPr>
              <w:widowControl/>
              <w:jc w:val="center"/>
              <w:rPr>
                <w:rFonts w:ascii="宋体" w:hAnsi="宋体" w:cs="宋体"/>
                <w:sz w:val="18"/>
                <w:szCs w:val="18"/>
              </w:rPr>
            </w:pPr>
            <w:r>
              <w:rPr>
                <w:rFonts w:hint="eastAsia" w:ascii="宋体" w:hAnsi="宋体" w:cs="宋体"/>
                <w:sz w:val="18"/>
                <w:szCs w:val="18"/>
              </w:rPr>
              <w:t>11</w:t>
            </w:r>
          </w:p>
        </w:tc>
        <w:tc>
          <w:tcPr>
            <w:tcW w:w="1600" w:type="dxa"/>
            <w:vMerge w:val="restart"/>
            <w:tcBorders>
              <w:top w:val="nil"/>
              <w:left w:val="single" w:color="000000" w:sz="4" w:space="0"/>
              <w:bottom w:val="single" w:color="000000" w:sz="4" w:space="0"/>
              <w:right w:val="single" w:color="000000" w:sz="4" w:space="0"/>
            </w:tcBorders>
            <w:noWrap w:val="0"/>
            <w:vAlign w:val="top"/>
          </w:tcPr>
          <w:p w14:paraId="0641BC23">
            <w:pPr>
              <w:widowControl/>
              <w:jc w:val="left"/>
              <w:rPr>
                <w:rFonts w:ascii="宋体" w:hAnsi="宋体" w:cs="宋体"/>
                <w:sz w:val="18"/>
                <w:szCs w:val="18"/>
              </w:rPr>
            </w:pPr>
            <w:r>
              <w:rPr>
                <w:rFonts w:hint="eastAsia" w:ascii="宋体" w:hAnsi="宋体" w:cs="宋体"/>
                <w:sz w:val="18"/>
                <w:szCs w:val="18"/>
              </w:rPr>
              <w:t xml:space="preserve">  0102-组织建设</w:t>
            </w:r>
          </w:p>
        </w:tc>
        <w:tc>
          <w:tcPr>
            <w:tcW w:w="1260" w:type="dxa"/>
            <w:vMerge w:val="restart"/>
            <w:tcBorders>
              <w:top w:val="nil"/>
              <w:left w:val="single" w:color="000000" w:sz="4" w:space="0"/>
              <w:bottom w:val="single" w:color="000000" w:sz="4" w:space="0"/>
              <w:right w:val="single" w:color="000000" w:sz="4" w:space="0"/>
            </w:tcBorders>
            <w:noWrap w:val="0"/>
            <w:vAlign w:val="top"/>
          </w:tcPr>
          <w:p w14:paraId="67F0BF41">
            <w:pPr>
              <w:widowControl/>
              <w:jc w:val="right"/>
              <w:rPr>
                <w:rFonts w:ascii="宋体" w:hAnsi="宋体" w:cs="宋体"/>
                <w:sz w:val="18"/>
                <w:szCs w:val="18"/>
              </w:rPr>
            </w:pPr>
            <w:r>
              <w:rPr>
                <w:rFonts w:hint="eastAsia" w:ascii="宋体" w:hAnsi="宋体" w:cs="宋体"/>
                <w:sz w:val="18"/>
                <w:szCs w:val="18"/>
              </w:rPr>
              <w:t>0.000000</w:t>
            </w:r>
          </w:p>
        </w:tc>
        <w:tc>
          <w:tcPr>
            <w:tcW w:w="3000" w:type="dxa"/>
            <w:vMerge w:val="restart"/>
            <w:tcBorders>
              <w:top w:val="nil"/>
              <w:left w:val="single" w:color="000000" w:sz="4" w:space="0"/>
              <w:bottom w:val="single" w:color="000000" w:sz="4" w:space="0"/>
              <w:right w:val="single" w:color="000000" w:sz="4" w:space="0"/>
            </w:tcBorders>
            <w:noWrap w:val="0"/>
            <w:vAlign w:val="top"/>
          </w:tcPr>
          <w:p w14:paraId="486CED6A">
            <w:pPr>
              <w:widowControl/>
              <w:jc w:val="left"/>
              <w:rPr>
                <w:rFonts w:ascii="宋体" w:hAnsi="宋体" w:cs="宋体"/>
                <w:sz w:val="18"/>
                <w:szCs w:val="18"/>
              </w:rPr>
            </w:pPr>
            <w:r>
              <w:rPr>
                <w:rFonts w:hint="eastAsia" w:ascii="宋体" w:hAnsi="宋体" w:cs="宋体"/>
                <w:sz w:val="18"/>
                <w:szCs w:val="18"/>
              </w:rPr>
              <w:t>指导区直机关认真落实《</w:t>
            </w:r>
            <w:r>
              <w:rPr>
                <w:rFonts w:hint="eastAsia" w:ascii="宋体" w:hAnsi="宋体" w:cs="宋体"/>
                <w:sz w:val="18"/>
                <w:szCs w:val="18"/>
                <w:lang w:val="en-US" w:eastAsia="zh-CN"/>
              </w:rPr>
              <w:t>中国共产</w:t>
            </w:r>
            <w:r>
              <w:rPr>
                <w:rFonts w:hint="eastAsia" w:ascii="宋体" w:hAnsi="宋体" w:cs="宋体"/>
                <w:sz w:val="18"/>
                <w:szCs w:val="18"/>
              </w:rPr>
              <w:t>党章</w:t>
            </w:r>
            <w:r>
              <w:rPr>
                <w:rFonts w:hint="eastAsia" w:ascii="宋体" w:hAnsi="宋体" w:cs="宋体"/>
                <w:sz w:val="18"/>
                <w:szCs w:val="18"/>
                <w:lang w:val="en-US" w:eastAsia="zh-CN"/>
              </w:rPr>
              <w:t>程</w:t>
            </w:r>
            <w:r>
              <w:rPr>
                <w:rFonts w:hint="eastAsia" w:ascii="宋体" w:hAnsi="宋体" w:cs="宋体"/>
                <w:sz w:val="18"/>
                <w:szCs w:val="18"/>
              </w:rPr>
              <w:t>》，加强基层党组织建设，严格组织生活制度，丰富党建活动内容，做好党员发展、教育、管理、服务和党务干部的教育培训工作，充分发挥党组织的战斗堡垒作用和党员的先锋模范作用。</w:t>
            </w:r>
          </w:p>
        </w:tc>
        <w:tc>
          <w:tcPr>
            <w:tcW w:w="2080" w:type="dxa"/>
            <w:tcBorders>
              <w:top w:val="nil"/>
              <w:left w:val="nil"/>
              <w:bottom w:val="single" w:color="000000" w:sz="4" w:space="0"/>
              <w:right w:val="single" w:color="000000" w:sz="4" w:space="0"/>
            </w:tcBorders>
            <w:noWrap w:val="0"/>
            <w:vAlign w:val="top"/>
          </w:tcPr>
          <w:p w14:paraId="45695F66">
            <w:pPr>
              <w:widowControl/>
              <w:jc w:val="left"/>
              <w:rPr>
                <w:rFonts w:ascii="宋体" w:hAnsi="宋体" w:cs="宋体"/>
                <w:sz w:val="18"/>
                <w:szCs w:val="18"/>
              </w:rPr>
            </w:pPr>
            <w:r>
              <w:rPr>
                <w:rFonts w:hint="eastAsia" w:ascii="宋体" w:hAnsi="宋体" w:cs="宋体"/>
                <w:sz w:val="18"/>
                <w:szCs w:val="18"/>
              </w:rPr>
              <w:t>党组织、党员作用突出。</w:t>
            </w:r>
          </w:p>
        </w:tc>
        <w:tc>
          <w:tcPr>
            <w:tcW w:w="1360" w:type="dxa"/>
            <w:tcBorders>
              <w:top w:val="nil"/>
              <w:left w:val="nil"/>
              <w:bottom w:val="single" w:color="000000" w:sz="4" w:space="0"/>
              <w:right w:val="single" w:color="000000" w:sz="4" w:space="0"/>
            </w:tcBorders>
            <w:noWrap w:val="0"/>
            <w:vAlign w:val="top"/>
          </w:tcPr>
          <w:p w14:paraId="1FC1FFEA">
            <w:pPr>
              <w:widowControl/>
              <w:jc w:val="left"/>
              <w:rPr>
                <w:rFonts w:ascii="宋体" w:hAnsi="宋体" w:cs="宋体"/>
                <w:sz w:val="18"/>
                <w:szCs w:val="18"/>
              </w:rPr>
            </w:pPr>
            <w:r>
              <w:rPr>
                <w:rFonts w:hint="eastAsia" w:ascii="宋体" w:hAnsi="宋体" w:cs="宋体"/>
                <w:sz w:val="18"/>
                <w:szCs w:val="18"/>
              </w:rPr>
              <w:t>党务干部党务工作考核优秀率</w:t>
            </w:r>
          </w:p>
        </w:tc>
        <w:tc>
          <w:tcPr>
            <w:tcW w:w="900" w:type="dxa"/>
            <w:tcBorders>
              <w:top w:val="nil"/>
              <w:left w:val="nil"/>
              <w:bottom w:val="single" w:color="000000" w:sz="4" w:space="0"/>
              <w:right w:val="single" w:color="000000" w:sz="4" w:space="0"/>
            </w:tcBorders>
            <w:noWrap w:val="0"/>
            <w:vAlign w:val="top"/>
          </w:tcPr>
          <w:p w14:paraId="032083CE">
            <w:pPr>
              <w:widowControl/>
              <w:jc w:val="left"/>
              <w:rPr>
                <w:rFonts w:ascii="宋体" w:hAnsi="宋体" w:cs="宋体"/>
                <w:sz w:val="18"/>
                <w:szCs w:val="18"/>
              </w:rPr>
            </w:pPr>
            <w:r>
              <w:rPr>
                <w:rFonts w:hint="eastAsia" w:ascii="宋体" w:hAnsi="宋体" w:cs="宋体"/>
                <w:sz w:val="18"/>
                <w:szCs w:val="18"/>
              </w:rPr>
              <w:t>≥90%</w:t>
            </w:r>
          </w:p>
        </w:tc>
        <w:tc>
          <w:tcPr>
            <w:tcW w:w="900" w:type="dxa"/>
            <w:tcBorders>
              <w:top w:val="nil"/>
              <w:left w:val="nil"/>
              <w:bottom w:val="single" w:color="000000" w:sz="4" w:space="0"/>
              <w:right w:val="single" w:color="000000" w:sz="4" w:space="0"/>
            </w:tcBorders>
            <w:noWrap w:val="0"/>
            <w:vAlign w:val="top"/>
          </w:tcPr>
          <w:p w14:paraId="77426B7E">
            <w:pPr>
              <w:widowControl/>
              <w:jc w:val="left"/>
              <w:rPr>
                <w:rFonts w:ascii="宋体" w:hAnsi="宋体" w:cs="宋体"/>
                <w:sz w:val="18"/>
                <w:szCs w:val="18"/>
              </w:rPr>
            </w:pPr>
            <w:r>
              <w:rPr>
                <w:rFonts w:hint="eastAsia" w:ascii="宋体" w:hAnsi="宋体" w:cs="宋体"/>
                <w:sz w:val="18"/>
                <w:szCs w:val="18"/>
              </w:rPr>
              <w:t>≥80%</w:t>
            </w:r>
          </w:p>
        </w:tc>
        <w:tc>
          <w:tcPr>
            <w:tcW w:w="900" w:type="dxa"/>
            <w:tcBorders>
              <w:top w:val="nil"/>
              <w:left w:val="nil"/>
              <w:bottom w:val="single" w:color="000000" w:sz="4" w:space="0"/>
              <w:right w:val="single" w:color="000000" w:sz="4" w:space="0"/>
            </w:tcBorders>
            <w:noWrap w:val="0"/>
            <w:vAlign w:val="top"/>
          </w:tcPr>
          <w:p w14:paraId="7C76760C">
            <w:pPr>
              <w:widowControl/>
              <w:jc w:val="left"/>
              <w:rPr>
                <w:rFonts w:ascii="宋体" w:hAnsi="宋体" w:cs="宋体"/>
                <w:sz w:val="18"/>
                <w:szCs w:val="18"/>
              </w:rPr>
            </w:pPr>
            <w:r>
              <w:rPr>
                <w:rFonts w:hint="eastAsia" w:ascii="宋体" w:hAnsi="宋体" w:cs="宋体"/>
                <w:sz w:val="18"/>
                <w:szCs w:val="18"/>
              </w:rPr>
              <w:t>≥70%</w:t>
            </w:r>
          </w:p>
        </w:tc>
        <w:tc>
          <w:tcPr>
            <w:tcW w:w="900" w:type="dxa"/>
            <w:tcBorders>
              <w:top w:val="nil"/>
              <w:left w:val="nil"/>
              <w:bottom w:val="single" w:color="000000" w:sz="4" w:space="0"/>
              <w:right w:val="single" w:color="000000" w:sz="4" w:space="0"/>
            </w:tcBorders>
            <w:noWrap w:val="0"/>
            <w:vAlign w:val="top"/>
          </w:tcPr>
          <w:p w14:paraId="0138910B">
            <w:pPr>
              <w:widowControl/>
              <w:jc w:val="left"/>
              <w:rPr>
                <w:rFonts w:ascii="宋体" w:hAnsi="宋体" w:cs="宋体"/>
                <w:sz w:val="18"/>
                <w:szCs w:val="18"/>
              </w:rPr>
            </w:pPr>
            <w:r>
              <w:rPr>
                <w:rFonts w:hint="eastAsia" w:ascii="宋体" w:hAnsi="宋体" w:cs="宋体"/>
                <w:sz w:val="18"/>
                <w:szCs w:val="18"/>
              </w:rPr>
              <w:t>&lt;70%</w:t>
            </w:r>
          </w:p>
        </w:tc>
      </w:tr>
      <w:tr w14:paraId="1C5E22A8">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noWrap w:val="0"/>
            <w:vAlign w:val="center"/>
          </w:tcPr>
          <w:p w14:paraId="538D9A15">
            <w:pPr>
              <w:widowControl/>
              <w:jc w:val="center"/>
              <w:rPr>
                <w:rFonts w:ascii="宋体" w:hAnsi="宋体" w:cs="宋体"/>
                <w:sz w:val="18"/>
                <w:szCs w:val="18"/>
              </w:rPr>
            </w:pPr>
            <w:r>
              <w:rPr>
                <w:rFonts w:hint="eastAsia" w:ascii="宋体" w:hAnsi="宋体" w:cs="宋体"/>
                <w:sz w:val="18"/>
                <w:szCs w:val="18"/>
              </w:rPr>
              <w:t>12</w:t>
            </w:r>
          </w:p>
        </w:tc>
        <w:tc>
          <w:tcPr>
            <w:tcW w:w="1600" w:type="dxa"/>
            <w:vMerge w:val="continue"/>
            <w:tcBorders>
              <w:top w:val="nil"/>
              <w:left w:val="single" w:color="000000" w:sz="4" w:space="0"/>
              <w:bottom w:val="single" w:color="000000" w:sz="4" w:space="0"/>
              <w:right w:val="single" w:color="000000" w:sz="4" w:space="0"/>
            </w:tcBorders>
            <w:noWrap w:val="0"/>
            <w:vAlign w:val="center"/>
          </w:tcPr>
          <w:p w14:paraId="4CC6A7AD">
            <w:pPr>
              <w:widowControl/>
              <w:jc w:val="left"/>
              <w:rPr>
                <w:rFonts w:ascii="宋体" w:hAnsi="宋体" w:cs="宋体"/>
                <w:sz w:val="18"/>
                <w:szCs w:val="18"/>
              </w:rPr>
            </w:pPr>
          </w:p>
        </w:tc>
        <w:tc>
          <w:tcPr>
            <w:tcW w:w="1260" w:type="dxa"/>
            <w:vMerge w:val="continue"/>
            <w:tcBorders>
              <w:top w:val="nil"/>
              <w:left w:val="single" w:color="000000" w:sz="4" w:space="0"/>
              <w:bottom w:val="single" w:color="000000" w:sz="4" w:space="0"/>
              <w:right w:val="single" w:color="000000" w:sz="4" w:space="0"/>
            </w:tcBorders>
            <w:noWrap w:val="0"/>
            <w:vAlign w:val="center"/>
          </w:tcPr>
          <w:p w14:paraId="30F1721E">
            <w:pPr>
              <w:widowControl/>
              <w:jc w:val="left"/>
              <w:rPr>
                <w:rFonts w:ascii="宋体" w:hAnsi="宋体" w:cs="宋体"/>
                <w:sz w:val="18"/>
                <w:szCs w:val="18"/>
              </w:rPr>
            </w:pPr>
          </w:p>
        </w:tc>
        <w:tc>
          <w:tcPr>
            <w:tcW w:w="3000" w:type="dxa"/>
            <w:vMerge w:val="continue"/>
            <w:tcBorders>
              <w:top w:val="nil"/>
              <w:left w:val="single" w:color="000000" w:sz="4" w:space="0"/>
              <w:bottom w:val="single" w:color="000000" w:sz="4" w:space="0"/>
              <w:right w:val="single" w:color="000000" w:sz="4" w:space="0"/>
            </w:tcBorders>
            <w:noWrap w:val="0"/>
            <w:vAlign w:val="center"/>
          </w:tcPr>
          <w:p w14:paraId="6C29781C">
            <w:pPr>
              <w:widowControl/>
              <w:jc w:val="left"/>
              <w:rPr>
                <w:rFonts w:ascii="宋体" w:hAnsi="宋体" w:cs="宋体"/>
                <w:sz w:val="18"/>
                <w:szCs w:val="18"/>
              </w:rPr>
            </w:pPr>
          </w:p>
        </w:tc>
        <w:tc>
          <w:tcPr>
            <w:tcW w:w="2080" w:type="dxa"/>
            <w:tcBorders>
              <w:top w:val="nil"/>
              <w:left w:val="nil"/>
              <w:bottom w:val="single" w:color="000000" w:sz="4" w:space="0"/>
              <w:right w:val="single" w:color="000000" w:sz="4" w:space="0"/>
            </w:tcBorders>
            <w:noWrap w:val="0"/>
            <w:vAlign w:val="top"/>
          </w:tcPr>
          <w:p w14:paraId="6D154EDA">
            <w:pPr>
              <w:widowControl/>
              <w:jc w:val="left"/>
              <w:rPr>
                <w:rFonts w:ascii="宋体" w:hAnsi="宋体" w:cs="宋体"/>
                <w:sz w:val="18"/>
                <w:szCs w:val="18"/>
              </w:rPr>
            </w:pPr>
            <w:r>
              <w:rPr>
                <w:rFonts w:hint="eastAsia" w:ascii="宋体" w:hAnsi="宋体" w:cs="宋体"/>
                <w:sz w:val="18"/>
                <w:szCs w:val="18"/>
              </w:rPr>
              <w:t>党组织、党员作用突出。</w:t>
            </w:r>
          </w:p>
        </w:tc>
        <w:tc>
          <w:tcPr>
            <w:tcW w:w="1360" w:type="dxa"/>
            <w:tcBorders>
              <w:top w:val="nil"/>
              <w:left w:val="nil"/>
              <w:bottom w:val="single" w:color="000000" w:sz="4" w:space="0"/>
              <w:right w:val="single" w:color="000000" w:sz="4" w:space="0"/>
            </w:tcBorders>
            <w:noWrap w:val="0"/>
            <w:vAlign w:val="top"/>
          </w:tcPr>
          <w:p w14:paraId="01991B48">
            <w:pPr>
              <w:widowControl/>
              <w:jc w:val="left"/>
              <w:rPr>
                <w:rFonts w:ascii="宋体" w:hAnsi="宋体" w:cs="宋体"/>
                <w:sz w:val="18"/>
                <w:szCs w:val="18"/>
              </w:rPr>
            </w:pPr>
            <w:r>
              <w:rPr>
                <w:rFonts w:hint="eastAsia" w:ascii="宋体" w:hAnsi="宋体" w:cs="宋体"/>
                <w:sz w:val="18"/>
                <w:szCs w:val="18"/>
              </w:rPr>
              <w:t>基层党组织建设工作完成率</w:t>
            </w:r>
          </w:p>
        </w:tc>
        <w:tc>
          <w:tcPr>
            <w:tcW w:w="900" w:type="dxa"/>
            <w:tcBorders>
              <w:top w:val="nil"/>
              <w:left w:val="nil"/>
              <w:bottom w:val="single" w:color="000000" w:sz="4" w:space="0"/>
              <w:right w:val="single" w:color="000000" w:sz="4" w:space="0"/>
            </w:tcBorders>
            <w:noWrap w:val="0"/>
            <w:vAlign w:val="top"/>
          </w:tcPr>
          <w:p w14:paraId="5F5D1B3C">
            <w:pPr>
              <w:widowControl/>
              <w:jc w:val="left"/>
              <w:rPr>
                <w:rFonts w:ascii="宋体" w:hAnsi="宋体" w:cs="宋体"/>
                <w:sz w:val="18"/>
                <w:szCs w:val="18"/>
              </w:rPr>
            </w:pPr>
            <w:r>
              <w:rPr>
                <w:rFonts w:hint="eastAsia" w:ascii="宋体" w:hAnsi="宋体" w:cs="宋体"/>
                <w:sz w:val="18"/>
                <w:szCs w:val="18"/>
              </w:rPr>
              <w:t>100%</w:t>
            </w:r>
          </w:p>
        </w:tc>
        <w:tc>
          <w:tcPr>
            <w:tcW w:w="900" w:type="dxa"/>
            <w:tcBorders>
              <w:top w:val="nil"/>
              <w:left w:val="nil"/>
              <w:bottom w:val="single" w:color="000000" w:sz="4" w:space="0"/>
              <w:right w:val="single" w:color="000000" w:sz="4" w:space="0"/>
            </w:tcBorders>
            <w:noWrap w:val="0"/>
            <w:vAlign w:val="top"/>
          </w:tcPr>
          <w:p w14:paraId="56923E25">
            <w:pPr>
              <w:widowControl/>
              <w:jc w:val="left"/>
              <w:rPr>
                <w:rFonts w:ascii="宋体" w:hAnsi="宋体" w:cs="宋体"/>
                <w:sz w:val="18"/>
                <w:szCs w:val="18"/>
              </w:rPr>
            </w:pPr>
            <w:r>
              <w:rPr>
                <w:rFonts w:hint="eastAsia" w:ascii="宋体" w:hAnsi="宋体" w:cs="宋体"/>
                <w:sz w:val="18"/>
                <w:szCs w:val="18"/>
              </w:rPr>
              <w:t>≥95%</w:t>
            </w:r>
          </w:p>
        </w:tc>
        <w:tc>
          <w:tcPr>
            <w:tcW w:w="900" w:type="dxa"/>
            <w:tcBorders>
              <w:top w:val="nil"/>
              <w:left w:val="nil"/>
              <w:bottom w:val="single" w:color="000000" w:sz="4" w:space="0"/>
              <w:right w:val="single" w:color="000000" w:sz="4" w:space="0"/>
            </w:tcBorders>
            <w:noWrap w:val="0"/>
            <w:vAlign w:val="top"/>
          </w:tcPr>
          <w:p w14:paraId="43F92485">
            <w:pPr>
              <w:widowControl/>
              <w:jc w:val="left"/>
              <w:rPr>
                <w:rFonts w:ascii="宋体" w:hAnsi="宋体" w:cs="宋体"/>
                <w:sz w:val="18"/>
                <w:szCs w:val="18"/>
              </w:rPr>
            </w:pPr>
            <w:r>
              <w:rPr>
                <w:rFonts w:hint="eastAsia" w:ascii="宋体" w:hAnsi="宋体" w:cs="宋体"/>
                <w:sz w:val="18"/>
                <w:szCs w:val="18"/>
              </w:rPr>
              <w:t>≥90%</w:t>
            </w:r>
          </w:p>
        </w:tc>
        <w:tc>
          <w:tcPr>
            <w:tcW w:w="900" w:type="dxa"/>
            <w:tcBorders>
              <w:top w:val="nil"/>
              <w:left w:val="nil"/>
              <w:bottom w:val="single" w:color="000000" w:sz="4" w:space="0"/>
              <w:right w:val="single" w:color="000000" w:sz="4" w:space="0"/>
            </w:tcBorders>
            <w:noWrap w:val="0"/>
            <w:vAlign w:val="top"/>
          </w:tcPr>
          <w:p w14:paraId="6EBDC5C3">
            <w:pPr>
              <w:widowControl/>
              <w:jc w:val="left"/>
              <w:rPr>
                <w:rFonts w:ascii="宋体" w:hAnsi="宋体" w:cs="宋体"/>
                <w:sz w:val="18"/>
                <w:szCs w:val="18"/>
              </w:rPr>
            </w:pPr>
            <w:r>
              <w:rPr>
                <w:rFonts w:hint="eastAsia" w:ascii="宋体" w:hAnsi="宋体" w:cs="宋体"/>
                <w:sz w:val="18"/>
                <w:szCs w:val="18"/>
              </w:rPr>
              <w:t>&lt;90%</w:t>
            </w:r>
          </w:p>
        </w:tc>
      </w:tr>
      <w:tr w14:paraId="7B1FB93C">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noWrap w:val="0"/>
            <w:vAlign w:val="center"/>
          </w:tcPr>
          <w:p w14:paraId="58A9F074">
            <w:pPr>
              <w:widowControl/>
              <w:jc w:val="center"/>
              <w:rPr>
                <w:rFonts w:ascii="宋体" w:hAnsi="宋体" w:cs="宋体"/>
                <w:sz w:val="18"/>
                <w:szCs w:val="18"/>
              </w:rPr>
            </w:pPr>
            <w:r>
              <w:rPr>
                <w:rFonts w:hint="eastAsia" w:ascii="宋体" w:hAnsi="宋体" w:cs="宋体"/>
                <w:sz w:val="18"/>
                <w:szCs w:val="18"/>
              </w:rPr>
              <w:t>13</w:t>
            </w:r>
          </w:p>
        </w:tc>
        <w:tc>
          <w:tcPr>
            <w:tcW w:w="1600" w:type="dxa"/>
            <w:vMerge w:val="restart"/>
            <w:tcBorders>
              <w:top w:val="nil"/>
              <w:left w:val="single" w:color="000000" w:sz="4" w:space="0"/>
              <w:bottom w:val="single" w:color="000000" w:sz="4" w:space="0"/>
              <w:right w:val="single" w:color="000000" w:sz="4" w:space="0"/>
            </w:tcBorders>
            <w:noWrap w:val="0"/>
            <w:vAlign w:val="top"/>
          </w:tcPr>
          <w:p w14:paraId="7C85651F">
            <w:pPr>
              <w:widowControl/>
              <w:jc w:val="left"/>
              <w:rPr>
                <w:rFonts w:ascii="宋体" w:hAnsi="宋体" w:cs="宋体"/>
                <w:sz w:val="18"/>
                <w:szCs w:val="18"/>
              </w:rPr>
            </w:pPr>
            <w:r>
              <w:rPr>
                <w:rFonts w:hint="eastAsia" w:ascii="宋体" w:hAnsi="宋体" w:cs="宋体"/>
                <w:sz w:val="18"/>
                <w:szCs w:val="18"/>
              </w:rPr>
              <w:t>0103-区直机关党风廉政建设</w:t>
            </w:r>
          </w:p>
        </w:tc>
        <w:tc>
          <w:tcPr>
            <w:tcW w:w="1260" w:type="dxa"/>
            <w:vMerge w:val="restart"/>
            <w:tcBorders>
              <w:top w:val="nil"/>
              <w:left w:val="single" w:color="000000" w:sz="4" w:space="0"/>
              <w:bottom w:val="single" w:color="000000" w:sz="4" w:space="0"/>
              <w:right w:val="single" w:color="000000" w:sz="4" w:space="0"/>
            </w:tcBorders>
            <w:noWrap w:val="0"/>
            <w:vAlign w:val="top"/>
          </w:tcPr>
          <w:p w14:paraId="3C4383CD">
            <w:pPr>
              <w:widowControl/>
              <w:jc w:val="right"/>
              <w:rPr>
                <w:rFonts w:ascii="宋体" w:hAnsi="宋体" w:cs="宋体"/>
                <w:sz w:val="18"/>
                <w:szCs w:val="18"/>
              </w:rPr>
            </w:pPr>
            <w:r>
              <w:rPr>
                <w:rFonts w:hint="eastAsia" w:ascii="宋体" w:hAnsi="宋体" w:cs="宋体"/>
                <w:sz w:val="18"/>
                <w:szCs w:val="18"/>
              </w:rPr>
              <w:t>0.000000</w:t>
            </w:r>
          </w:p>
        </w:tc>
        <w:tc>
          <w:tcPr>
            <w:tcW w:w="3000" w:type="dxa"/>
            <w:vMerge w:val="restart"/>
            <w:tcBorders>
              <w:top w:val="nil"/>
              <w:left w:val="single" w:color="000000" w:sz="4" w:space="0"/>
              <w:bottom w:val="single" w:color="000000" w:sz="4" w:space="0"/>
              <w:right w:val="single" w:color="000000" w:sz="4" w:space="0"/>
            </w:tcBorders>
            <w:noWrap w:val="0"/>
            <w:vAlign w:val="top"/>
          </w:tcPr>
          <w:p w14:paraId="154CE0C7">
            <w:pPr>
              <w:widowControl/>
              <w:jc w:val="left"/>
              <w:rPr>
                <w:rFonts w:ascii="宋体" w:hAnsi="宋体" w:cs="宋体"/>
                <w:sz w:val="18"/>
                <w:szCs w:val="18"/>
              </w:rPr>
            </w:pPr>
            <w:r>
              <w:rPr>
                <w:rFonts w:hint="eastAsia" w:ascii="宋体" w:hAnsi="宋体" w:cs="宋体"/>
                <w:sz w:val="18"/>
                <w:szCs w:val="18"/>
              </w:rPr>
              <w:t>开展区直各级党组织的纪律检查工作，审议区直普通党员干部违反党纪问题，审批区直普通党员干部违反党纪处理决定;核查区直普通党员干部的违纪问题。</w:t>
            </w:r>
          </w:p>
        </w:tc>
        <w:tc>
          <w:tcPr>
            <w:tcW w:w="2080" w:type="dxa"/>
            <w:tcBorders>
              <w:top w:val="nil"/>
              <w:left w:val="nil"/>
              <w:bottom w:val="single" w:color="000000" w:sz="4" w:space="0"/>
              <w:right w:val="single" w:color="000000" w:sz="4" w:space="0"/>
            </w:tcBorders>
            <w:noWrap w:val="0"/>
            <w:vAlign w:val="top"/>
          </w:tcPr>
          <w:p w14:paraId="71403F34">
            <w:pPr>
              <w:widowControl/>
              <w:jc w:val="left"/>
              <w:rPr>
                <w:rFonts w:ascii="宋体" w:hAnsi="宋体" w:cs="宋体"/>
                <w:sz w:val="18"/>
                <w:szCs w:val="18"/>
              </w:rPr>
            </w:pPr>
            <w:r>
              <w:rPr>
                <w:rFonts w:hint="eastAsia" w:ascii="宋体" w:hAnsi="宋体" w:cs="宋体"/>
                <w:sz w:val="18"/>
                <w:szCs w:val="18"/>
              </w:rPr>
              <w:t>　</w:t>
            </w:r>
          </w:p>
        </w:tc>
        <w:tc>
          <w:tcPr>
            <w:tcW w:w="1360" w:type="dxa"/>
            <w:tcBorders>
              <w:top w:val="nil"/>
              <w:left w:val="nil"/>
              <w:bottom w:val="single" w:color="000000" w:sz="4" w:space="0"/>
              <w:right w:val="single" w:color="000000" w:sz="4" w:space="0"/>
            </w:tcBorders>
            <w:noWrap w:val="0"/>
            <w:vAlign w:val="top"/>
          </w:tcPr>
          <w:p w14:paraId="1C327FE9">
            <w:pPr>
              <w:widowControl/>
              <w:jc w:val="left"/>
              <w:rPr>
                <w:rFonts w:ascii="宋体" w:hAnsi="宋体" w:cs="宋体"/>
                <w:sz w:val="18"/>
                <w:szCs w:val="18"/>
              </w:rPr>
            </w:pPr>
            <w:r>
              <w:rPr>
                <w:rFonts w:hint="eastAsia" w:ascii="宋体" w:hAnsi="宋体" w:cs="宋体"/>
                <w:sz w:val="18"/>
                <w:szCs w:val="18"/>
              </w:rPr>
              <w:t>党风廉政建设宣传工作完成率</w:t>
            </w:r>
          </w:p>
        </w:tc>
        <w:tc>
          <w:tcPr>
            <w:tcW w:w="900" w:type="dxa"/>
            <w:tcBorders>
              <w:top w:val="nil"/>
              <w:left w:val="nil"/>
              <w:bottom w:val="single" w:color="000000" w:sz="4" w:space="0"/>
              <w:right w:val="single" w:color="000000" w:sz="4" w:space="0"/>
            </w:tcBorders>
            <w:noWrap w:val="0"/>
            <w:vAlign w:val="top"/>
          </w:tcPr>
          <w:p w14:paraId="5D0AEDFF">
            <w:pPr>
              <w:widowControl/>
              <w:jc w:val="left"/>
              <w:rPr>
                <w:rFonts w:ascii="宋体" w:hAnsi="宋体" w:cs="宋体"/>
                <w:sz w:val="18"/>
                <w:szCs w:val="18"/>
              </w:rPr>
            </w:pPr>
            <w:r>
              <w:rPr>
                <w:rFonts w:hint="eastAsia" w:ascii="宋体" w:hAnsi="宋体" w:cs="宋体"/>
                <w:sz w:val="18"/>
                <w:szCs w:val="18"/>
              </w:rPr>
              <w:t>100%</w:t>
            </w:r>
          </w:p>
        </w:tc>
        <w:tc>
          <w:tcPr>
            <w:tcW w:w="900" w:type="dxa"/>
            <w:tcBorders>
              <w:top w:val="nil"/>
              <w:left w:val="nil"/>
              <w:bottom w:val="single" w:color="000000" w:sz="4" w:space="0"/>
              <w:right w:val="single" w:color="000000" w:sz="4" w:space="0"/>
            </w:tcBorders>
            <w:noWrap w:val="0"/>
            <w:vAlign w:val="top"/>
          </w:tcPr>
          <w:p w14:paraId="25271D60">
            <w:pPr>
              <w:widowControl/>
              <w:jc w:val="left"/>
              <w:rPr>
                <w:rFonts w:ascii="宋体" w:hAnsi="宋体" w:cs="宋体"/>
                <w:sz w:val="18"/>
                <w:szCs w:val="18"/>
              </w:rPr>
            </w:pPr>
            <w:r>
              <w:rPr>
                <w:rFonts w:hint="eastAsia" w:ascii="宋体" w:hAnsi="宋体" w:cs="宋体"/>
                <w:sz w:val="18"/>
                <w:szCs w:val="18"/>
              </w:rPr>
              <w:t>≥95%</w:t>
            </w:r>
          </w:p>
        </w:tc>
        <w:tc>
          <w:tcPr>
            <w:tcW w:w="900" w:type="dxa"/>
            <w:tcBorders>
              <w:top w:val="nil"/>
              <w:left w:val="nil"/>
              <w:bottom w:val="single" w:color="000000" w:sz="4" w:space="0"/>
              <w:right w:val="single" w:color="000000" w:sz="4" w:space="0"/>
            </w:tcBorders>
            <w:noWrap w:val="0"/>
            <w:vAlign w:val="top"/>
          </w:tcPr>
          <w:p w14:paraId="77AF4F90">
            <w:pPr>
              <w:widowControl/>
              <w:jc w:val="left"/>
              <w:rPr>
                <w:rFonts w:ascii="宋体" w:hAnsi="宋体" w:cs="宋体"/>
                <w:sz w:val="18"/>
                <w:szCs w:val="18"/>
              </w:rPr>
            </w:pPr>
            <w:r>
              <w:rPr>
                <w:rFonts w:hint="eastAsia" w:ascii="宋体" w:hAnsi="宋体" w:cs="宋体"/>
                <w:sz w:val="18"/>
                <w:szCs w:val="18"/>
              </w:rPr>
              <w:t>≥80%</w:t>
            </w:r>
          </w:p>
        </w:tc>
        <w:tc>
          <w:tcPr>
            <w:tcW w:w="900" w:type="dxa"/>
            <w:tcBorders>
              <w:top w:val="nil"/>
              <w:left w:val="nil"/>
              <w:bottom w:val="single" w:color="000000" w:sz="4" w:space="0"/>
              <w:right w:val="single" w:color="000000" w:sz="4" w:space="0"/>
            </w:tcBorders>
            <w:noWrap w:val="0"/>
            <w:vAlign w:val="top"/>
          </w:tcPr>
          <w:p w14:paraId="6DCC6B8F">
            <w:pPr>
              <w:widowControl/>
              <w:jc w:val="left"/>
              <w:rPr>
                <w:rFonts w:ascii="宋体" w:hAnsi="宋体" w:cs="宋体"/>
                <w:sz w:val="18"/>
                <w:szCs w:val="18"/>
              </w:rPr>
            </w:pPr>
            <w:r>
              <w:rPr>
                <w:rFonts w:hint="eastAsia" w:ascii="宋体" w:hAnsi="宋体" w:cs="宋体"/>
                <w:sz w:val="18"/>
                <w:szCs w:val="18"/>
              </w:rPr>
              <w:t>&lt;80%</w:t>
            </w:r>
          </w:p>
        </w:tc>
      </w:tr>
      <w:tr w14:paraId="38191739">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noWrap w:val="0"/>
            <w:vAlign w:val="center"/>
          </w:tcPr>
          <w:p w14:paraId="717BBF1D">
            <w:pPr>
              <w:widowControl/>
              <w:jc w:val="center"/>
              <w:rPr>
                <w:rFonts w:ascii="宋体" w:hAnsi="宋体" w:cs="宋体"/>
                <w:sz w:val="18"/>
                <w:szCs w:val="18"/>
              </w:rPr>
            </w:pPr>
            <w:r>
              <w:rPr>
                <w:rFonts w:hint="eastAsia" w:ascii="宋体" w:hAnsi="宋体" w:cs="宋体"/>
                <w:sz w:val="18"/>
                <w:szCs w:val="18"/>
              </w:rPr>
              <w:t>14</w:t>
            </w:r>
          </w:p>
        </w:tc>
        <w:tc>
          <w:tcPr>
            <w:tcW w:w="1600" w:type="dxa"/>
            <w:vMerge w:val="continue"/>
            <w:tcBorders>
              <w:top w:val="nil"/>
              <w:left w:val="single" w:color="000000" w:sz="4" w:space="0"/>
              <w:bottom w:val="single" w:color="000000" w:sz="4" w:space="0"/>
              <w:right w:val="single" w:color="000000" w:sz="4" w:space="0"/>
            </w:tcBorders>
            <w:noWrap w:val="0"/>
            <w:vAlign w:val="center"/>
          </w:tcPr>
          <w:p w14:paraId="4A79D395">
            <w:pPr>
              <w:widowControl/>
              <w:jc w:val="left"/>
              <w:rPr>
                <w:rFonts w:ascii="宋体" w:hAnsi="宋体" w:cs="宋体"/>
                <w:sz w:val="18"/>
                <w:szCs w:val="18"/>
              </w:rPr>
            </w:pPr>
          </w:p>
        </w:tc>
        <w:tc>
          <w:tcPr>
            <w:tcW w:w="1260" w:type="dxa"/>
            <w:vMerge w:val="continue"/>
            <w:tcBorders>
              <w:top w:val="nil"/>
              <w:left w:val="single" w:color="000000" w:sz="4" w:space="0"/>
              <w:bottom w:val="single" w:color="000000" w:sz="4" w:space="0"/>
              <w:right w:val="single" w:color="000000" w:sz="4" w:space="0"/>
            </w:tcBorders>
            <w:noWrap w:val="0"/>
            <w:vAlign w:val="center"/>
          </w:tcPr>
          <w:p w14:paraId="21B13719">
            <w:pPr>
              <w:widowControl/>
              <w:jc w:val="left"/>
              <w:rPr>
                <w:rFonts w:ascii="宋体" w:hAnsi="宋体" w:cs="宋体"/>
                <w:sz w:val="18"/>
                <w:szCs w:val="18"/>
              </w:rPr>
            </w:pPr>
          </w:p>
        </w:tc>
        <w:tc>
          <w:tcPr>
            <w:tcW w:w="3000" w:type="dxa"/>
            <w:vMerge w:val="continue"/>
            <w:tcBorders>
              <w:top w:val="nil"/>
              <w:left w:val="single" w:color="000000" w:sz="4" w:space="0"/>
              <w:bottom w:val="single" w:color="000000" w:sz="4" w:space="0"/>
              <w:right w:val="single" w:color="000000" w:sz="4" w:space="0"/>
            </w:tcBorders>
            <w:noWrap w:val="0"/>
            <w:vAlign w:val="center"/>
          </w:tcPr>
          <w:p w14:paraId="65E09C23">
            <w:pPr>
              <w:widowControl/>
              <w:jc w:val="left"/>
              <w:rPr>
                <w:rFonts w:ascii="宋体" w:hAnsi="宋体" w:cs="宋体"/>
                <w:sz w:val="18"/>
                <w:szCs w:val="18"/>
              </w:rPr>
            </w:pPr>
          </w:p>
        </w:tc>
        <w:tc>
          <w:tcPr>
            <w:tcW w:w="2080" w:type="dxa"/>
            <w:tcBorders>
              <w:top w:val="nil"/>
              <w:left w:val="nil"/>
              <w:bottom w:val="single" w:color="000000" w:sz="4" w:space="0"/>
              <w:right w:val="single" w:color="000000" w:sz="4" w:space="0"/>
            </w:tcBorders>
            <w:noWrap w:val="0"/>
            <w:vAlign w:val="top"/>
          </w:tcPr>
          <w:p w14:paraId="5A179FCB">
            <w:pPr>
              <w:widowControl/>
              <w:jc w:val="left"/>
              <w:rPr>
                <w:rFonts w:ascii="宋体" w:hAnsi="宋体" w:cs="宋体"/>
                <w:sz w:val="18"/>
                <w:szCs w:val="18"/>
              </w:rPr>
            </w:pPr>
            <w:r>
              <w:rPr>
                <w:rFonts w:hint="eastAsia" w:ascii="宋体" w:hAnsi="宋体" w:cs="宋体"/>
                <w:sz w:val="18"/>
                <w:szCs w:val="18"/>
              </w:rPr>
              <w:t>　</w:t>
            </w:r>
          </w:p>
        </w:tc>
        <w:tc>
          <w:tcPr>
            <w:tcW w:w="1360" w:type="dxa"/>
            <w:tcBorders>
              <w:top w:val="nil"/>
              <w:left w:val="nil"/>
              <w:bottom w:val="single" w:color="000000" w:sz="4" w:space="0"/>
              <w:right w:val="single" w:color="000000" w:sz="4" w:space="0"/>
            </w:tcBorders>
            <w:noWrap w:val="0"/>
            <w:vAlign w:val="top"/>
          </w:tcPr>
          <w:p w14:paraId="45E2AAAC">
            <w:pPr>
              <w:widowControl/>
              <w:jc w:val="left"/>
              <w:rPr>
                <w:rFonts w:ascii="宋体" w:hAnsi="宋体" w:cs="宋体"/>
                <w:sz w:val="18"/>
                <w:szCs w:val="18"/>
              </w:rPr>
            </w:pPr>
            <w:r>
              <w:rPr>
                <w:rFonts w:hint="eastAsia" w:ascii="宋体" w:hAnsi="宋体" w:cs="宋体"/>
                <w:sz w:val="18"/>
                <w:szCs w:val="18"/>
              </w:rPr>
              <w:t>党员干部违纪核查工作完成率</w:t>
            </w:r>
          </w:p>
        </w:tc>
        <w:tc>
          <w:tcPr>
            <w:tcW w:w="900" w:type="dxa"/>
            <w:tcBorders>
              <w:top w:val="nil"/>
              <w:left w:val="nil"/>
              <w:bottom w:val="single" w:color="000000" w:sz="4" w:space="0"/>
              <w:right w:val="single" w:color="000000" w:sz="4" w:space="0"/>
            </w:tcBorders>
            <w:noWrap w:val="0"/>
            <w:vAlign w:val="top"/>
          </w:tcPr>
          <w:p w14:paraId="0F330CFD">
            <w:pPr>
              <w:widowControl/>
              <w:jc w:val="left"/>
              <w:rPr>
                <w:rFonts w:ascii="宋体" w:hAnsi="宋体" w:cs="宋体"/>
                <w:sz w:val="18"/>
                <w:szCs w:val="18"/>
              </w:rPr>
            </w:pPr>
            <w:r>
              <w:rPr>
                <w:rFonts w:hint="eastAsia" w:ascii="宋体" w:hAnsi="宋体" w:cs="宋体"/>
                <w:sz w:val="18"/>
                <w:szCs w:val="18"/>
              </w:rPr>
              <w:t>100%</w:t>
            </w:r>
          </w:p>
        </w:tc>
        <w:tc>
          <w:tcPr>
            <w:tcW w:w="900" w:type="dxa"/>
            <w:tcBorders>
              <w:top w:val="nil"/>
              <w:left w:val="nil"/>
              <w:bottom w:val="single" w:color="000000" w:sz="4" w:space="0"/>
              <w:right w:val="single" w:color="000000" w:sz="4" w:space="0"/>
            </w:tcBorders>
            <w:noWrap w:val="0"/>
            <w:vAlign w:val="top"/>
          </w:tcPr>
          <w:p w14:paraId="24DFA93A">
            <w:pPr>
              <w:widowControl/>
              <w:jc w:val="left"/>
              <w:rPr>
                <w:rFonts w:ascii="宋体" w:hAnsi="宋体" w:cs="宋体"/>
                <w:sz w:val="18"/>
                <w:szCs w:val="18"/>
              </w:rPr>
            </w:pPr>
            <w:r>
              <w:rPr>
                <w:rFonts w:hint="eastAsia" w:ascii="宋体" w:hAnsi="宋体" w:cs="宋体"/>
                <w:sz w:val="18"/>
                <w:szCs w:val="18"/>
              </w:rPr>
              <w:t>≥95%</w:t>
            </w:r>
          </w:p>
        </w:tc>
        <w:tc>
          <w:tcPr>
            <w:tcW w:w="900" w:type="dxa"/>
            <w:tcBorders>
              <w:top w:val="nil"/>
              <w:left w:val="nil"/>
              <w:bottom w:val="single" w:color="000000" w:sz="4" w:space="0"/>
              <w:right w:val="single" w:color="000000" w:sz="4" w:space="0"/>
            </w:tcBorders>
            <w:noWrap w:val="0"/>
            <w:vAlign w:val="top"/>
          </w:tcPr>
          <w:p w14:paraId="67B9E1D8">
            <w:pPr>
              <w:widowControl/>
              <w:jc w:val="left"/>
              <w:rPr>
                <w:rFonts w:ascii="宋体" w:hAnsi="宋体" w:cs="宋体"/>
                <w:sz w:val="18"/>
                <w:szCs w:val="18"/>
              </w:rPr>
            </w:pPr>
            <w:r>
              <w:rPr>
                <w:rFonts w:hint="eastAsia" w:ascii="宋体" w:hAnsi="宋体" w:cs="宋体"/>
                <w:sz w:val="18"/>
                <w:szCs w:val="18"/>
              </w:rPr>
              <w:t>≥90%</w:t>
            </w:r>
          </w:p>
        </w:tc>
        <w:tc>
          <w:tcPr>
            <w:tcW w:w="900" w:type="dxa"/>
            <w:tcBorders>
              <w:top w:val="nil"/>
              <w:left w:val="nil"/>
              <w:bottom w:val="single" w:color="000000" w:sz="4" w:space="0"/>
              <w:right w:val="single" w:color="000000" w:sz="4" w:space="0"/>
            </w:tcBorders>
            <w:noWrap w:val="0"/>
            <w:vAlign w:val="top"/>
          </w:tcPr>
          <w:p w14:paraId="7C8FC68A">
            <w:pPr>
              <w:widowControl/>
              <w:jc w:val="left"/>
              <w:rPr>
                <w:rFonts w:ascii="宋体" w:hAnsi="宋体" w:cs="宋体"/>
                <w:sz w:val="18"/>
                <w:szCs w:val="18"/>
              </w:rPr>
            </w:pPr>
            <w:r>
              <w:rPr>
                <w:rFonts w:hint="eastAsia" w:ascii="宋体" w:hAnsi="宋体" w:cs="宋体"/>
                <w:sz w:val="18"/>
                <w:szCs w:val="18"/>
              </w:rPr>
              <w:t>&lt;90%</w:t>
            </w:r>
          </w:p>
        </w:tc>
      </w:tr>
      <w:tr w14:paraId="4798D18E">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noWrap w:val="0"/>
            <w:vAlign w:val="center"/>
          </w:tcPr>
          <w:p w14:paraId="5602C792">
            <w:pPr>
              <w:widowControl/>
              <w:jc w:val="center"/>
              <w:rPr>
                <w:rFonts w:ascii="宋体" w:hAnsi="宋体" w:cs="宋体"/>
                <w:sz w:val="18"/>
                <w:szCs w:val="18"/>
              </w:rPr>
            </w:pPr>
            <w:r>
              <w:rPr>
                <w:rFonts w:hint="eastAsia" w:ascii="宋体" w:hAnsi="宋体" w:cs="宋体"/>
                <w:sz w:val="18"/>
                <w:szCs w:val="18"/>
              </w:rPr>
              <w:t>15</w:t>
            </w:r>
          </w:p>
        </w:tc>
        <w:tc>
          <w:tcPr>
            <w:tcW w:w="1600" w:type="dxa"/>
            <w:tcBorders>
              <w:top w:val="nil"/>
              <w:left w:val="nil"/>
              <w:bottom w:val="single" w:color="000000" w:sz="4" w:space="0"/>
              <w:right w:val="single" w:color="000000" w:sz="4" w:space="0"/>
            </w:tcBorders>
            <w:noWrap w:val="0"/>
            <w:vAlign w:val="top"/>
          </w:tcPr>
          <w:p w14:paraId="44AAFFA9">
            <w:pPr>
              <w:widowControl/>
              <w:jc w:val="left"/>
              <w:rPr>
                <w:rFonts w:ascii="宋体" w:hAnsi="宋体" w:cs="宋体"/>
                <w:sz w:val="18"/>
                <w:szCs w:val="18"/>
              </w:rPr>
            </w:pPr>
            <w:r>
              <w:rPr>
                <w:rFonts w:hint="eastAsia" w:ascii="宋体" w:hAnsi="宋体" w:cs="宋体"/>
                <w:sz w:val="18"/>
                <w:szCs w:val="18"/>
              </w:rPr>
              <w:t>02-工委事务管理</w:t>
            </w:r>
          </w:p>
        </w:tc>
        <w:tc>
          <w:tcPr>
            <w:tcW w:w="1260" w:type="dxa"/>
            <w:tcBorders>
              <w:top w:val="nil"/>
              <w:left w:val="nil"/>
              <w:bottom w:val="single" w:color="000000" w:sz="4" w:space="0"/>
              <w:right w:val="single" w:color="000000" w:sz="4" w:space="0"/>
            </w:tcBorders>
            <w:noWrap w:val="0"/>
            <w:vAlign w:val="top"/>
          </w:tcPr>
          <w:p w14:paraId="6115F059">
            <w:pPr>
              <w:widowControl/>
              <w:jc w:val="right"/>
              <w:rPr>
                <w:rFonts w:ascii="宋体" w:hAnsi="宋体" w:cs="宋体"/>
                <w:sz w:val="18"/>
                <w:szCs w:val="18"/>
              </w:rPr>
            </w:pPr>
            <w:r>
              <w:rPr>
                <w:rFonts w:hint="eastAsia" w:ascii="宋体" w:hAnsi="宋体" w:cs="宋体"/>
                <w:sz w:val="18"/>
                <w:szCs w:val="18"/>
              </w:rPr>
              <w:t>0.000000</w:t>
            </w:r>
          </w:p>
        </w:tc>
        <w:tc>
          <w:tcPr>
            <w:tcW w:w="3000" w:type="dxa"/>
            <w:tcBorders>
              <w:top w:val="nil"/>
              <w:left w:val="nil"/>
              <w:bottom w:val="single" w:color="000000" w:sz="4" w:space="0"/>
              <w:right w:val="single" w:color="000000" w:sz="4" w:space="0"/>
            </w:tcBorders>
            <w:noWrap w:val="0"/>
            <w:vAlign w:val="top"/>
          </w:tcPr>
          <w:p w14:paraId="11F629E9">
            <w:pPr>
              <w:widowControl/>
              <w:jc w:val="left"/>
              <w:rPr>
                <w:rFonts w:ascii="宋体" w:hAnsi="宋体" w:cs="宋体"/>
                <w:sz w:val="18"/>
                <w:szCs w:val="18"/>
              </w:rPr>
            </w:pPr>
            <w:r>
              <w:rPr>
                <w:rFonts w:hint="eastAsia" w:ascii="宋体" w:hAnsi="宋体" w:cs="宋体"/>
                <w:sz w:val="18"/>
                <w:szCs w:val="18"/>
              </w:rPr>
              <w:t>完成好区直机关党委日常业务工作，机关党建网络建设、调研交流工作以及区直机关文化活动开展。</w:t>
            </w:r>
          </w:p>
        </w:tc>
        <w:tc>
          <w:tcPr>
            <w:tcW w:w="2080" w:type="dxa"/>
            <w:tcBorders>
              <w:top w:val="nil"/>
              <w:left w:val="nil"/>
              <w:bottom w:val="single" w:color="000000" w:sz="4" w:space="0"/>
              <w:right w:val="single" w:color="000000" w:sz="4" w:space="0"/>
            </w:tcBorders>
            <w:noWrap w:val="0"/>
            <w:vAlign w:val="top"/>
          </w:tcPr>
          <w:p w14:paraId="45479D5C">
            <w:pPr>
              <w:widowControl/>
              <w:jc w:val="left"/>
              <w:rPr>
                <w:rFonts w:ascii="宋体" w:hAnsi="宋体" w:cs="宋体"/>
                <w:sz w:val="18"/>
                <w:szCs w:val="18"/>
              </w:rPr>
            </w:pPr>
            <w:r>
              <w:rPr>
                <w:rFonts w:hint="eastAsia" w:ascii="宋体" w:hAnsi="宋体" w:cs="宋体"/>
                <w:sz w:val="18"/>
                <w:szCs w:val="18"/>
              </w:rPr>
              <w:t>　</w:t>
            </w:r>
          </w:p>
        </w:tc>
        <w:tc>
          <w:tcPr>
            <w:tcW w:w="1360" w:type="dxa"/>
            <w:tcBorders>
              <w:top w:val="nil"/>
              <w:left w:val="nil"/>
              <w:bottom w:val="single" w:color="000000" w:sz="4" w:space="0"/>
              <w:right w:val="single" w:color="000000" w:sz="4" w:space="0"/>
            </w:tcBorders>
            <w:noWrap w:val="0"/>
            <w:vAlign w:val="top"/>
          </w:tcPr>
          <w:p w14:paraId="5093CB76">
            <w:pPr>
              <w:widowControl/>
              <w:jc w:val="left"/>
              <w:rPr>
                <w:rFonts w:ascii="宋体" w:hAnsi="宋体" w:cs="宋体"/>
                <w:sz w:val="18"/>
                <w:szCs w:val="18"/>
              </w:rPr>
            </w:pPr>
            <w:r>
              <w:rPr>
                <w:rFonts w:hint="eastAsia" w:ascii="宋体" w:hAnsi="宋体" w:cs="宋体"/>
                <w:sz w:val="18"/>
                <w:szCs w:val="18"/>
              </w:rPr>
              <w:t>　</w:t>
            </w:r>
          </w:p>
        </w:tc>
        <w:tc>
          <w:tcPr>
            <w:tcW w:w="900" w:type="dxa"/>
            <w:tcBorders>
              <w:top w:val="nil"/>
              <w:left w:val="nil"/>
              <w:bottom w:val="single" w:color="000000" w:sz="4" w:space="0"/>
              <w:right w:val="single" w:color="000000" w:sz="4" w:space="0"/>
            </w:tcBorders>
            <w:noWrap w:val="0"/>
            <w:vAlign w:val="top"/>
          </w:tcPr>
          <w:p w14:paraId="19300724">
            <w:pPr>
              <w:widowControl/>
              <w:jc w:val="left"/>
              <w:rPr>
                <w:rFonts w:ascii="宋体" w:hAnsi="宋体" w:cs="宋体"/>
                <w:sz w:val="18"/>
                <w:szCs w:val="18"/>
              </w:rPr>
            </w:pPr>
            <w:r>
              <w:rPr>
                <w:rFonts w:hint="eastAsia" w:ascii="宋体" w:hAnsi="宋体" w:cs="宋体"/>
                <w:sz w:val="18"/>
                <w:szCs w:val="18"/>
              </w:rPr>
              <w:t>　</w:t>
            </w:r>
          </w:p>
        </w:tc>
        <w:tc>
          <w:tcPr>
            <w:tcW w:w="900" w:type="dxa"/>
            <w:tcBorders>
              <w:top w:val="nil"/>
              <w:left w:val="nil"/>
              <w:bottom w:val="single" w:color="000000" w:sz="4" w:space="0"/>
              <w:right w:val="single" w:color="000000" w:sz="4" w:space="0"/>
            </w:tcBorders>
            <w:noWrap w:val="0"/>
            <w:vAlign w:val="top"/>
          </w:tcPr>
          <w:p w14:paraId="08D107B8">
            <w:pPr>
              <w:widowControl/>
              <w:jc w:val="left"/>
              <w:rPr>
                <w:rFonts w:ascii="宋体" w:hAnsi="宋体" w:cs="宋体"/>
                <w:sz w:val="18"/>
                <w:szCs w:val="18"/>
              </w:rPr>
            </w:pPr>
            <w:r>
              <w:rPr>
                <w:rFonts w:hint="eastAsia" w:ascii="宋体" w:hAnsi="宋体" w:cs="宋体"/>
                <w:sz w:val="18"/>
                <w:szCs w:val="18"/>
              </w:rPr>
              <w:t>　</w:t>
            </w:r>
          </w:p>
        </w:tc>
        <w:tc>
          <w:tcPr>
            <w:tcW w:w="900" w:type="dxa"/>
            <w:tcBorders>
              <w:top w:val="nil"/>
              <w:left w:val="nil"/>
              <w:bottom w:val="single" w:color="000000" w:sz="4" w:space="0"/>
              <w:right w:val="single" w:color="000000" w:sz="4" w:space="0"/>
            </w:tcBorders>
            <w:noWrap w:val="0"/>
            <w:vAlign w:val="top"/>
          </w:tcPr>
          <w:p w14:paraId="475B2591">
            <w:pPr>
              <w:widowControl/>
              <w:jc w:val="left"/>
              <w:rPr>
                <w:rFonts w:ascii="宋体" w:hAnsi="宋体" w:cs="宋体"/>
                <w:sz w:val="18"/>
                <w:szCs w:val="18"/>
              </w:rPr>
            </w:pPr>
            <w:r>
              <w:rPr>
                <w:rFonts w:hint="eastAsia" w:ascii="宋体" w:hAnsi="宋体" w:cs="宋体"/>
                <w:sz w:val="18"/>
                <w:szCs w:val="18"/>
              </w:rPr>
              <w:t>　</w:t>
            </w:r>
          </w:p>
        </w:tc>
        <w:tc>
          <w:tcPr>
            <w:tcW w:w="900" w:type="dxa"/>
            <w:tcBorders>
              <w:top w:val="nil"/>
              <w:left w:val="nil"/>
              <w:bottom w:val="single" w:color="000000" w:sz="4" w:space="0"/>
              <w:right w:val="single" w:color="000000" w:sz="4" w:space="0"/>
            </w:tcBorders>
            <w:noWrap w:val="0"/>
            <w:vAlign w:val="top"/>
          </w:tcPr>
          <w:p w14:paraId="4606A2FA">
            <w:pPr>
              <w:widowControl/>
              <w:jc w:val="left"/>
              <w:rPr>
                <w:rFonts w:ascii="宋体" w:hAnsi="宋体" w:cs="宋体"/>
                <w:sz w:val="18"/>
                <w:szCs w:val="18"/>
              </w:rPr>
            </w:pPr>
            <w:r>
              <w:rPr>
                <w:rFonts w:hint="eastAsia" w:ascii="宋体" w:hAnsi="宋体" w:cs="宋体"/>
                <w:sz w:val="18"/>
                <w:szCs w:val="18"/>
              </w:rPr>
              <w:t>　</w:t>
            </w:r>
          </w:p>
        </w:tc>
      </w:tr>
      <w:tr w14:paraId="0F7FE5FC">
        <w:tblPrEx>
          <w:tblCellMar>
            <w:top w:w="0" w:type="dxa"/>
            <w:left w:w="108" w:type="dxa"/>
            <w:bottom w:w="0" w:type="dxa"/>
            <w:right w:w="108" w:type="dxa"/>
          </w:tblCellMar>
        </w:tblPrEx>
        <w:trPr>
          <w:trHeight w:val="300" w:hRule="atLeast"/>
        </w:trPr>
        <w:tc>
          <w:tcPr>
            <w:tcW w:w="540" w:type="dxa"/>
            <w:tcBorders>
              <w:top w:val="nil"/>
              <w:left w:val="single" w:color="000000" w:sz="4" w:space="0"/>
              <w:bottom w:val="single" w:color="000000" w:sz="4" w:space="0"/>
              <w:right w:val="single" w:color="000000" w:sz="4" w:space="0"/>
            </w:tcBorders>
            <w:noWrap w:val="0"/>
            <w:vAlign w:val="center"/>
          </w:tcPr>
          <w:p w14:paraId="2FB39DF0">
            <w:pPr>
              <w:widowControl/>
              <w:jc w:val="center"/>
              <w:rPr>
                <w:rFonts w:ascii="宋体" w:hAnsi="宋体" w:cs="宋体"/>
                <w:sz w:val="18"/>
                <w:szCs w:val="18"/>
              </w:rPr>
            </w:pPr>
            <w:r>
              <w:rPr>
                <w:rFonts w:hint="eastAsia" w:ascii="宋体" w:hAnsi="宋体" w:cs="宋体"/>
                <w:sz w:val="18"/>
                <w:szCs w:val="18"/>
              </w:rPr>
              <w:t>16</w:t>
            </w:r>
          </w:p>
        </w:tc>
        <w:tc>
          <w:tcPr>
            <w:tcW w:w="1600" w:type="dxa"/>
            <w:tcBorders>
              <w:top w:val="nil"/>
              <w:left w:val="nil"/>
              <w:bottom w:val="single" w:color="000000" w:sz="4" w:space="0"/>
              <w:right w:val="single" w:color="000000" w:sz="4" w:space="0"/>
            </w:tcBorders>
            <w:noWrap w:val="0"/>
            <w:vAlign w:val="top"/>
          </w:tcPr>
          <w:p w14:paraId="3C9B4E9E">
            <w:pPr>
              <w:widowControl/>
              <w:jc w:val="left"/>
              <w:rPr>
                <w:rFonts w:ascii="宋体" w:hAnsi="宋体" w:cs="宋体"/>
                <w:sz w:val="18"/>
                <w:szCs w:val="18"/>
              </w:rPr>
            </w:pPr>
            <w:r>
              <w:rPr>
                <w:rFonts w:hint="eastAsia" w:ascii="宋体" w:hAnsi="宋体" w:cs="宋体"/>
                <w:sz w:val="18"/>
                <w:szCs w:val="18"/>
              </w:rPr>
              <w:t>0201-综合业务管理</w:t>
            </w:r>
          </w:p>
        </w:tc>
        <w:tc>
          <w:tcPr>
            <w:tcW w:w="1260" w:type="dxa"/>
            <w:tcBorders>
              <w:top w:val="nil"/>
              <w:left w:val="nil"/>
              <w:bottom w:val="single" w:color="000000" w:sz="4" w:space="0"/>
              <w:right w:val="single" w:color="000000" w:sz="4" w:space="0"/>
            </w:tcBorders>
            <w:noWrap w:val="0"/>
            <w:vAlign w:val="top"/>
          </w:tcPr>
          <w:p w14:paraId="628FADDB">
            <w:pPr>
              <w:widowControl/>
              <w:jc w:val="right"/>
              <w:rPr>
                <w:rFonts w:ascii="宋体" w:hAnsi="宋体" w:cs="宋体"/>
                <w:sz w:val="18"/>
                <w:szCs w:val="18"/>
              </w:rPr>
            </w:pPr>
            <w:r>
              <w:rPr>
                <w:rFonts w:hint="eastAsia" w:ascii="宋体" w:hAnsi="宋体" w:cs="宋体"/>
                <w:sz w:val="18"/>
                <w:szCs w:val="18"/>
              </w:rPr>
              <w:t>0.000000</w:t>
            </w:r>
          </w:p>
        </w:tc>
        <w:tc>
          <w:tcPr>
            <w:tcW w:w="3000" w:type="dxa"/>
            <w:tcBorders>
              <w:top w:val="nil"/>
              <w:left w:val="nil"/>
              <w:bottom w:val="single" w:color="000000" w:sz="4" w:space="0"/>
              <w:right w:val="single" w:color="000000" w:sz="4" w:space="0"/>
            </w:tcBorders>
            <w:noWrap w:val="0"/>
            <w:vAlign w:val="top"/>
          </w:tcPr>
          <w:p w14:paraId="75DD3478">
            <w:pPr>
              <w:widowControl/>
              <w:jc w:val="left"/>
              <w:rPr>
                <w:rFonts w:ascii="宋体" w:hAnsi="宋体" w:cs="宋体"/>
                <w:sz w:val="18"/>
                <w:szCs w:val="18"/>
              </w:rPr>
            </w:pPr>
            <w:r>
              <w:rPr>
                <w:rFonts w:hint="eastAsia" w:ascii="宋体" w:hAnsi="宋体" w:cs="宋体"/>
                <w:sz w:val="18"/>
                <w:szCs w:val="18"/>
              </w:rPr>
              <w:t>做好区直各级党组织任免、考核、培训工作；活跃区直机关文化生活，加强全区机关党建工作调研交流，做好区直机关各项党务工作。</w:t>
            </w:r>
          </w:p>
        </w:tc>
        <w:tc>
          <w:tcPr>
            <w:tcW w:w="2080" w:type="dxa"/>
            <w:tcBorders>
              <w:top w:val="nil"/>
              <w:left w:val="nil"/>
              <w:bottom w:val="single" w:color="000000" w:sz="4" w:space="0"/>
              <w:right w:val="single" w:color="000000" w:sz="4" w:space="0"/>
            </w:tcBorders>
            <w:noWrap w:val="0"/>
            <w:vAlign w:val="top"/>
          </w:tcPr>
          <w:p w14:paraId="0A9F2B17">
            <w:pPr>
              <w:widowControl/>
              <w:jc w:val="left"/>
              <w:rPr>
                <w:rFonts w:ascii="宋体" w:hAnsi="宋体" w:cs="宋体"/>
                <w:sz w:val="18"/>
                <w:szCs w:val="18"/>
              </w:rPr>
            </w:pPr>
            <w:r>
              <w:rPr>
                <w:rFonts w:hint="eastAsia" w:ascii="宋体" w:hAnsi="宋体" w:cs="宋体"/>
                <w:sz w:val="18"/>
                <w:szCs w:val="18"/>
              </w:rPr>
              <w:t>　</w:t>
            </w:r>
          </w:p>
        </w:tc>
        <w:tc>
          <w:tcPr>
            <w:tcW w:w="1360" w:type="dxa"/>
            <w:tcBorders>
              <w:top w:val="nil"/>
              <w:left w:val="nil"/>
              <w:bottom w:val="single" w:color="000000" w:sz="4" w:space="0"/>
              <w:right w:val="single" w:color="000000" w:sz="4" w:space="0"/>
            </w:tcBorders>
            <w:noWrap w:val="0"/>
            <w:vAlign w:val="top"/>
          </w:tcPr>
          <w:p w14:paraId="23A18602">
            <w:pPr>
              <w:widowControl/>
              <w:jc w:val="left"/>
              <w:rPr>
                <w:rFonts w:ascii="宋体" w:hAnsi="宋体" w:cs="宋体"/>
                <w:sz w:val="18"/>
                <w:szCs w:val="18"/>
              </w:rPr>
            </w:pPr>
            <w:r>
              <w:rPr>
                <w:rFonts w:hint="eastAsia" w:ascii="宋体" w:hAnsi="宋体" w:cs="宋体"/>
                <w:sz w:val="18"/>
                <w:szCs w:val="18"/>
              </w:rPr>
              <w:t>综合业务工作完成率</w:t>
            </w:r>
          </w:p>
        </w:tc>
        <w:tc>
          <w:tcPr>
            <w:tcW w:w="900" w:type="dxa"/>
            <w:tcBorders>
              <w:top w:val="nil"/>
              <w:left w:val="nil"/>
              <w:bottom w:val="single" w:color="000000" w:sz="4" w:space="0"/>
              <w:right w:val="single" w:color="000000" w:sz="4" w:space="0"/>
            </w:tcBorders>
            <w:noWrap w:val="0"/>
            <w:vAlign w:val="top"/>
          </w:tcPr>
          <w:p w14:paraId="414259FC">
            <w:pPr>
              <w:widowControl/>
              <w:jc w:val="left"/>
              <w:rPr>
                <w:rFonts w:ascii="宋体" w:hAnsi="宋体" w:cs="宋体"/>
                <w:sz w:val="18"/>
                <w:szCs w:val="18"/>
              </w:rPr>
            </w:pPr>
            <w:r>
              <w:rPr>
                <w:rFonts w:hint="eastAsia" w:ascii="宋体" w:hAnsi="宋体" w:cs="宋体"/>
                <w:sz w:val="18"/>
                <w:szCs w:val="18"/>
              </w:rPr>
              <w:t>100%</w:t>
            </w:r>
          </w:p>
        </w:tc>
        <w:tc>
          <w:tcPr>
            <w:tcW w:w="900" w:type="dxa"/>
            <w:tcBorders>
              <w:top w:val="nil"/>
              <w:left w:val="nil"/>
              <w:bottom w:val="single" w:color="000000" w:sz="4" w:space="0"/>
              <w:right w:val="single" w:color="000000" w:sz="4" w:space="0"/>
            </w:tcBorders>
            <w:noWrap w:val="0"/>
            <w:vAlign w:val="top"/>
          </w:tcPr>
          <w:p w14:paraId="5329D50E">
            <w:pPr>
              <w:widowControl/>
              <w:jc w:val="left"/>
              <w:rPr>
                <w:rFonts w:ascii="宋体" w:hAnsi="宋体" w:cs="宋体"/>
                <w:sz w:val="18"/>
                <w:szCs w:val="18"/>
              </w:rPr>
            </w:pPr>
            <w:r>
              <w:rPr>
                <w:rFonts w:hint="eastAsia" w:ascii="宋体" w:hAnsi="宋体" w:cs="宋体"/>
                <w:sz w:val="18"/>
                <w:szCs w:val="18"/>
              </w:rPr>
              <w:t>≥95%</w:t>
            </w:r>
          </w:p>
        </w:tc>
        <w:tc>
          <w:tcPr>
            <w:tcW w:w="900" w:type="dxa"/>
            <w:tcBorders>
              <w:top w:val="nil"/>
              <w:left w:val="nil"/>
              <w:bottom w:val="single" w:color="000000" w:sz="4" w:space="0"/>
              <w:right w:val="single" w:color="000000" w:sz="4" w:space="0"/>
            </w:tcBorders>
            <w:noWrap w:val="0"/>
            <w:vAlign w:val="top"/>
          </w:tcPr>
          <w:p w14:paraId="4424D17E">
            <w:pPr>
              <w:widowControl/>
              <w:jc w:val="left"/>
              <w:rPr>
                <w:rFonts w:ascii="宋体" w:hAnsi="宋体" w:cs="宋体"/>
                <w:sz w:val="18"/>
                <w:szCs w:val="18"/>
              </w:rPr>
            </w:pPr>
            <w:r>
              <w:rPr>
                <w:rFonts w:hint="eastAsia" w:ascii="宋体" w:hAnsi="宋体" w:cs="宋体"/>
                <w:sz w:val="18"/>
                <w:szCs w:val="18"/>
              </w:rPr>
              <w:t>≥90%</w:t>
            </w:r>
          </w:p>
        </w:tc>
        <w:tc>
          <w:tcPr>
            <w:tcW w:w="900" w:type="dxa"/>
            <w:tcBorders>
              <w:top w:val="nil"/>
              <w:left w:val="nil"/>
              <w:bottom w:val="single" w:color="000000" w:sz="4" w:space="0"/>
              <w:right w:val="single" w:color="000000" w:sz="4" w:space="0"/>
            </w:tcBorders>
            <w:noWrap w:val="0"/>
            <w:vAlign w:val="top"/>
          </w:tcPr>
          <w:p w14:paraId="17853B65">
            <w:pPr>
              <w:widowControl/>
              <w:jc w:val="left"/>
              <w:rPr>
                <w:rFonts w:ascii="宋体" w:hAnsi="宋体" w:cs="宋体"/>
                <w:sz w:val="18"/>
                <w:szCs w:val="18"/>
              </w:rPr>
            </w:pPr>
            <w:r>
              <w:rPr>
                <w:rFonts w:hint="eastAsia" w:ascii="宋体" w:hAnsi="宋体" w:cs="宋体"/>
                <w:sz w:val="18"/>
                <w:szCs w:val="18"/>
              </w:rPr>
              <w:t>&lt;90%</w:t>
            </w:r>
          </w:p>
        </w:tc>
      </w:tr>
    </w:tbl>
    <w:p w14:paraId="0DD27B00">
      <w:pPr>
        <w:ind w:firstLine="320"/>
        <w:rPr>
          <w:rFonts w:hint="eastAsia" w:ascii="仿宋_GB2312" w:eastAsia="仿宋_GB2312"/>
          <w:sz w:val="32"/>
          <w:szCs w:val="32"/>
        </w:rPr>
      </w:pPr>
    </w:p>
    <w:p w14:paraId="169AA1C4">
      <w:pPr>
        <w:jc w:val="center"/>
        <w:outlineLvl w:val="0"/>
        <w:rPr>
          <w:rFonts w:hint="eastAsia" w:ascii="仿宋_GB2312" w:hAnsi="Times New Roman" w:eastAsia="仿宋_GB2312"/>
          <w:sz w:val="32"/>
          <w:szCs w:val="32"/>
        </w:rPr>
      </w:pPr>
    </w:p>
    <w:bookmarkEnd w:id="0"/>
    <w:p w14:paraId="0E9764A0">
      <w:pPr>
        <w:ind w:firstLine="640"/>
        <w:jc w:val="left"/>
        <w:rPr>
          <w:rFonts w:hint="eastAsia" w:ascii="仿宋_GB2312" w:hAnsi="Times New Roman" w:eastAsia="仿宋_GB2312"/>
          <w:sz w:val="32"/>
          <w:szCs w:val="32"/>
        </w:rPr>
      </w:pPr>
      <w:r>
        <w:rPr>
          <w:rFonts w:hint="eastAsia" w:ascii="仿宋_GB2312" w:hAnsi="Times New Roman" w:eastAsia="仿宋_GB2312"/>
          <w:sz w:val="32"/>
          <w:szCs w:val="32"/>
        </w:rPr>
        <w:t>六、政府采购预算情况</w:t>
      </w:r>
    </w:p>
    <w:p w14:paraId="4166B360">
      <w:pPr>
        <w:ind w:firstLine="640"/>
        <w:outlineLvl w:val="0"/>
        <w:rPr>
          <w:rFonts w:hint="eastAsia" w:ascii="仿宋_GB2312" w:hAnsi="Times New Roman" w:eastAsia="仿宋_GB2312"/>
          <w:sz w:val="32"/>
          <w:szCs w:val="32"/>
        </w:rPr>
      </w:pPr>
      <w:bookmarkStart w:id="1" w:name="_Toc471398468"/>
      <w:r>
        <w:rPr>
          <w:rFonts w:hint="eastAsia" w:ascii="仿宋_GB2312" w:hAnsi="Times New Roman" w:eastAsia="仿宋_GB2312"/>
          <w:sz w:val="32"/>
          <w:szCs w:val="32"/>
        </w:rPr>
        <w:t xml:space="preserve"> 2018年，我单位安排政府采购预算0.00万元。</w:t>
      </w:r>
    </w:p>
    <w:bookmarkEnd w:id="1"/>
    <w:p w14:paraId="15B9FCB9">
      <w:pPr>
        <w:ind w:firstLine="640"/>
        <w:jc w:val="left"/>
        <w:rPr>
          <w:rFonts w:hint="eastAsia" w:ascii="仿宋_GB2312" w:hAnsi="Times New Roman" w:eastAsia="仿宋_GB2312"/>
          <w:sz w:val="32"/>
          <w:szCs w:val="32"/>
        </w:rPr>
      </w:pPr>
      <w:r>
        <w:rPr>
          <w:rFonts w:hint="eastAsia" w:ascii="仿宋_GB2312" w:hAnsi="Times New Roman" w:eastAsia="仿宋_GB2312"/>
          <w:sz w:val="32"/>
          <w:szCs w:val="32"/>
        </w:rPr>
        <w:t>七、国有资产信息</w:t>
      </w:r>
    </w:p>
    <w:p w14:paraId="414610BF">
      <w:pPr>
        <w:ind w:firstLine="630"/>
        <w:rPr>
          <w:rFonts w:hint="eastAsia" w:ascii="仿宋_GB2312" w:eastAsia="仿宋_GB2312"/>
          <w:sz w:val="32"/>
          <w:szCs w:val="32"/>
        </w:rPr>
      </w:pPr>
      <w:r>
        <w:rPr>
          <w:rFonts w:hint="eastAsia" w:ascii="仿宋_GB2312" w:hAnsi="Times New Roman" w:eastAsia="仿宋_GB2312"/>
          <w:sz w:val="32"/>
          <w:szCs w:val="32"/>
        </w:rPr>
        <w:t>中共承德市鹰手营子矿区委区直机关工委上年末固定资产金额为</w:t>
      </w:r>
      <w:r>
        <w:rPr>
          <w:rFonts w:hint="eastAsia" w:ascii="仿宋_GB2312" w:eastAsia="仿宋_GB2312"/>
          <w:sz w:val="32"/>
          <w:szCs w:val="32"/>
        </w:rPr>
        <w:t>17419元</w:t>
      </w:r>
      <w:r>
        <w:rPr>
          <w:rFonts w:hint="eastAsia" w:ascii="仿宋_GB2312" w:hAnsi="Times New Roman" w:eastAsia="仿宋_GB2312"/>
          <w:sz w:val="32"/>
          <w:szCs w:val="32"/>
        </w:rPr>
        <w:t>（详见下表），本年度各单位（处室）拟购置固定资产总额为0.00万元。</w:t>
      </w:r>
    </w:p>
    <w:tbl>
      <w:tblPr>
        <w:tblStyle w:val="28"/>
        <w:tblW w:w="0" w:type="auto"/>
        <w:jc w:val="center"/>
        <w:tblLayout w:type="fixed"/>
        <w:tblCellMar>
          <w:top w:w="0" w:type="dxa"/>
          <w:left w:w="108" w:type="dxa"/>
          <w:bottom w:w="0" w:type="dxa"/>
          <w:right w:w="108" w:type="dxa"/>
        </w:tblCellMar>
      </w:tblPr>
      <w:tblGrid>
        <w:gridCol w:w="5224"/>
        <w:gridCol w:w="3155"/>
        <w:gridCol w:w="5103"/>
      </w:tblGrid>
      <w:tr w14:paraId="69878AA6">
        <w:tblPrEx>
          <w:tblCellMar>
            <w:top w:w="0" w:type="dxa"/>
            <w:left w:w="108" w:type="dxa"/>
            <w:bottom w:w="0" w:type="dxa"/>
            <w:right w:w="108" w:type="dxa"/>
          </w:tblCellMar>
        </w:tblPrEx>
        <w:trPr>
          <w:trHeight w:val="705" w:hRule="atLeast"/>
          <w:jc w:val="center"/>
        </w:trPr>
        <w:tc>
          <w:tcPr>
            <w:tcW w:w="13482" w:type="dxa"/>
            <w:gridSpan w:val="3"/>
            <w:tcBorders>
              <w:top w:val="nil"/>
              <w:left w:val="nil"/>
              <w:bottom w:val="nil"/>
              <w:right w:val="nil"/>
            </w:tcBorders>
            <w:noWrap w:val="0"/>
            <w:vAlign w:val="center"/>
          </w:tcPr>
          <w:p w14:paraId="006DB8E8">
            <w:pPr>
              <w:widowControl/>
              <w:jc w:val="center"/>
              <w:rPr>
                <w:rFonts w:ascii="仿宋_GB2312" w:hAnsi="Times New Roman" w:eastAsia="仿宋_GB2312"/>
                <w:b/>
                <w:bCs/>
                <w:sz w:val="32"/>
                <w:szCs w:val="32"/>
              </w:rPr>
            </w:pPr>
          </w:p>
          <w:p w14:paraId="3D8F2156">
            <w:pPr>
              <w:widowControl/>
              <w:jc w:val="center"/>
              <w:rPr>
                <w:rFonts w:ascii="仿宋_GB2312" w:hAnsi="Times New Roman" w:eastAsia="仿宋_GB2312"/>
                <w:b/>
                <w:bCs/>
                <w:sz w:val="32"/>
                <w:szCs w:val="32"/>
              </w:rPr>
            </w:pPr>
            <w:r>
              <w:rPr>
                <w:rFonts w:hint="eastAsia" w:ascii="仿宋_GB2312" w:hAnsi="Times New Roman" w:eastAsia="仿宋_GB2312"/>
                <w:b/>
                <w:bCs/>
                <w:sz w:val="32"/>
                <w:szCs w:val="32"/>
              </w:rPr>
              <w:t>固定资产占用情况表</w:t>
            </w:r>
          </w:p>
        </w:tc>
      </w:tr>
      <w:tr w14:paraId="42AD3308">
        <w:tblPrEx>
          <w:tblCellMar>
            <w:top w:w="0" w:type="dxa"/>
            <w:left w:w="108" w:type="dxa"/>
            <w:bottom w:w="0" w:type="dxa"/>
            <w:right w:w="108" w:type="dxa"/>
          </w:tblCellMar>
        </w:tblPrEx>
        <w:trPr>
          <w:trHeight w:val="510" w:hRule="atLeast"/>
          <w:jc w:val="center"/>
        </w:trPr>
        <w:tc>
          <w:tcPr>
            <w:tcW w:w="8379" w:type="dxa"/>
            <w:gridSpan w:val="2"/>
            <w:tcBorders>
              <w:top w:val="nil"/>
              <w:left w:val="nil"/>
              <w:bottom w:val="nil"/>
              <w:right w:val="nil"/>
            </w:tcBorders>
            <w:noWrap w:val="0"/>
            <w:vAlign w:val="center"/>
          </w:tcPr>
          <w:p w14:paraId="4FD46CDE">
            <w:pPr>
              <w:widowControl/>
              <w:jc w:val="left"/>
              <w:rPr>
                <w:rFonts w:ascii="仿宋_GB2312" w:hAnsi="Times New Roman" w:eastAsia="仿宋_GB2312"/>
                <w:sz w:val="32"/>
                <w:szCs w:val="32"/>
              </w:rPr>
            </w:pPr>
            <w:r>
              <w:rPr>
                <w:rFonts w:hint="eastAsia" w:ascii="仿宋_GB2312" w:hAnsi="Times New Roman" w:eastAsia="仿宋_GB2312"/>
                <w:sz w:val="32"/>
                <w:szCs w:val="32"/>
              </w:rPr>
              <w:t>编制部门：中共承德市鹰手营子矿区委区直机关工委</w:t>
            </w:r>
          </w:p>
        </w:tc>
        <w:tc>
          <w:tcPr>
            <w:tcW w:w="5103" w:type="dxa"/>
            <w:tcBorders>
              <w:top w:val="nil"/>
              <w:left w:val="nil"/>
              <w:bottom w:val="nil"/>
              <w:right w:val="nil"/>
            </w:tcBorders>
            <w:noWrap w:val="0"/>
            <w:vAlign w:val="center"/>
          </w:tcPr>
          <w:p w14:paraId="0077EA98">
            <w:pPr>
              <w:widowControl/>
              <w:jc w:val="left"/>
              <w:rPr>
                <w:rFonts w:ascii="仿宋_GB2312" w:hAnsi="Times New Roman" w:eastAsia="仿宋_GB2312"/>
                <w:sz w:val="32"/>
                <w:szCs w:val="32"/>
              </w:rPr>
            </w:pPr>
            <w:r>
              <w:rPr>
                <w:rFonts w:hint="eastAsia" w:ascii="仿宋_GB2312" w:hAnsi="Times New Roman" w:eastAsia="仿宋_GB2312"/>
                <w:sz w:val="32"/>
                <w:szCs w:val="32"/>
              </w:rPr>
              <w:t xml:space="preserve">截止时间：2017年12月31日  </w:t>
            </w:r>
          </w:p>
        </w:tc>
      </w:tr>
      <w:tr w14:paraId="7D98D216">
        <w:tblPrEx>
          <w:tblCellMar>
            <w:top w:w="0" w:type="dxa"/>
            <w:left w:w="108" w:type="dxa"/>
            <w:bottom w:w="0" w:type="dxa"/>
            <w:right w:w="108" w:type="dxa"/>
          </w:tblCellMar>
        </w:tblPrEx>
        <w:trPr>
          <w:trHeight w:val="645" w:hRule="atLeast"/>
          <w:jc w:val="center"/>
        </w:trPr>
        <w:tc>
          <w:tcPr>
            <w:tcW w:w="5224" w:type="dxa"/>
            <w:tcBorders>
              <w:top w:val="single" w:color="000000" w:sz="4" w:space="0"/>
              <w:left w:val="single" w:color="000000" w:sz="4" w:space="0"/>
              <w:bottom w:val="single" w:color="000000" w:sz="4" w:space="0"/>
              <w:right w:val="single" w:color="000000" w:sz="4" w:space="0"/>
            </w:tcBorders>
            <w:noWrap w:val="0"/>
            <w:vAlign w:val="center"/>
          </w:tcPr>
          <w:p w14:paraId="5CA717A7">
            <w:pPr>
              <w:widowControl/>
              <w:jc w:val="center"/>
              <w:rPr>
                <w:rFonts w:ascii="仿宋_GB2312" w:hAnsi="Times New Roman" w:eastAsia="仿宋_GB2312"/>
                <w:b/>
                <w:bCs/>
                <w:sz w:val="32"/>
                <w:szCs w:val="32"/>
              </w:rPr>
            </w:pPr>
            <w:r>
              <w:rPr>
                <w:rFonts w:hint="eastAsia" w:ascii="仿宋_GB2312" w:hAnsi="Times New Roman" w:eastAsia="仿宋_GB2312"/>
                <w:b/>
                <w:bCs/>
                <w:sz w:val="32"/>
                <w:szCs w:val="32"/>
              </w:rPr>
              <w:t>项   目</w:t>
            </w:r>
          </w:p>
        </w:tc>
        <w:tc>
          <w:tcPr>
            <w:tcW w:w="3155" w:type="dxa"/>
            <w:tcBorders>
              <w:top w:val="single" w:color="000000" w:sz="4" w:space="0"/>
              <w:left w:val="nil"/>
              <w:bottom w:val="single" w:color="000000" w:sz="4" w:space="0"/>
              <w:right w:val="single" w:color="000000" w:sz="4" w:space="0"/>
            </w:tcBorders>
            <w:noWrap w:val="0"/>
            <w:vAlign w:val="center"/>
          </w:tcPr>
          <w:p w14:paraId="0C753707">
            <w:pPr>
              <w:widowControl/>
              <w:jc w:val="center"/>
              <w:rPr>
                <w:rFonts w:ascii="仿宋_GB2312" w:hAnsi="Times New Roman" w:eastAsia="仿宋_GB2312"/>
                <w:b/>
                <w:bCs/>
                <w:sz w:val="32"/>
                <w:szCs w:val="32"/>
              </w:rPr>
            </w:pPr>
            <w:r>
              <w:rPr>
                <w:rFonts w:hint="eastAsia" w:ascii="仿宋_GB2312" w:hAnsi="Times New Roman" w:eastAsia="仿宋_GB2312"/>
                <w:b/>
                <w:bCs/>
                <w:sz w:val="32"/>
                <w:szCs w:val="32"/>
              </w:rPr>
              <w:t>数量</w:t>
            </w:r>
          </w:p>
        </w:tc>
        <w:tc>
          <w:tcPr>
            <w:tcW w:w="5103" w:type="dxa"/>
            <w:tcBorders>
              <w:top w:val="single" w:color="000000" w:sz="4" w:space="0"/>
              <w:left w:val="nil"/>
              <w:bottom w:val="single" w:color="000000" w:sz="4" w:space="0"/>
              <w:right w:val="single" w:color="000000" w:sz="4" w:space="0"/>
            </w:tcBorders>
            <w:noWrap w:val="0"/>
            <w:vAlign w:val="center"/>
          </w:tcPr>
          <w:p w14:paraId="6E50D06C">
            <w:pPr>
              <w:widowControl/>
              <w:jc w:val="center"/>
              <w:rPr>
                <w:rFonts w:ascii="仿宋_GB2312" w:hAnsi="Times New Roman" w:eastAsia="仿宋_GB2312"/>
                <w:b/>
                <w:bCs/>
                <w:sz w:val="32"/>
                <w:szCs w:val="32"/>
              </w:rPr>
            </w:pPr>
            <w:r>
              <w:rPr>
                <w:rFonts w:hint="eastAsia" w:ascii="仿宋_GB2312" w:hAnsi="Times New Roman" w:eastAsia="仿宋_GB2312"/>
                <w:b/>
                <w:bCs/>
                <w:sz w:val="32"/>
                <w:szCs w:val="32"/>
              </w:rPr>
              <w:t>价值（金额单位：元）</w:t>
            </w:r>
          </w:p>
        </w:tc>
      </w:tr>
      <w:tr w14:paraId="42B75953">
        <w:tblPrEx>
          <w:tblCellMar>
            <w:top w:w="0" w:type="dxa"/>
            <w:left w:w="108" w:type="dxa"/>
            <w:bottom w:w="0" w:type="dxa"/>
            <w:right w:w="108" w:type="dxa"/>
          </w:tblCellMar>
        </w:tblPrEx>
        <w:trPr>
          <w:trHeight w:val="645" w:hRule="atLeast"/>
          <w:jc w:val="center"/>
        </w:trPr>
        <w:tc>
          <w:tcPr>
            <w:tcW w:w="5224" w:type="dxa"/>
            <w:tcBorders>
              <w:top w:val="nil"/>
              <w:left w:val="single" w:color="000000" w:sz="4" w:space="0"/>
              <w:bottom w:val="single" w:color="000000" w:sz="4" w:space="0"/>
              <w:right w:val="single" w:color="000000" w:sz="4" w:space="0"/>
            </w:tcBorders>
            <w:noWrap w:val="0"/>
            <w:vAlign w:val="center"/>
          </w:tcPr>
          <w:p w14:paraId="02107E1C">
            <w:pPr>
              <w:widowControl/>
              <w:jc w:val="center"/>
              <w:rPr>
                <w:rFonts w:ascii="仿宋_GB2312" w:hAnsi="Times New Roman" w:eastAsia="仿宋_GB2312"/>
                <w:sz w:val="32"/>
                <w:szCs w:val="32"/>
              </w:rPr>
            </w:pPr>
            <w:r>
              <w:rPr>
                <w:rFonts w:hint="eastAsia" w:ascii="仿宋_GB2312" w:hAnsi="Times New Roman" w:eastAsia="仿宋_GB2312"/>
                <w:sz w:val="32"/>
                <w:szCs w:val="32"/>
              </w:rPr>
              <w:t>资产总额</w:t>
            </w:r>
          </w:p>
        </w:tc>
        <w:tc>
          <w:tcPr>
            <w:tcW w:w="3155" w:type="dxa"/>
            <w:tcBorders>
              <w:top w:val="nil"/>
              <w:left w:val="nil"/>
              <w:bottom w:val="single" w:color="000000" w:sz="4" w:space="0"/>
              <w:right w:val="single" w:color="000000" w:sz="4" w:space="0"/>
            </w:tcBorders>
            <w:noWrap w:val="0"/>
            <w:vAlign w:val="center"/>
          </w:tcPr>
          <w:p w14:paraId="5346FD1D">
            <w:pPr>
              <w:widowControl/>
              <w:jc w:val="center"/>
              <w:rPr>
                <w:rFonts w:ascii="仿宋_GB2312" w:hAnsi="Times New Roman" w:eastAsia="仿宋_GB2312"/>
                <w:sz w:val="32"/>
                <w:szCs w:val="32"/>
              </w:rPr>
            </w:pPr>
            <w:r>
              <w:rPr>
                <w:rFonts w:ascii="仿宋_GB2312" w:hAnsi="Times New Roman" w:eastAsia="仿宋_GB2312"/>
                <w:sz w:val="32"/>
                <w:szCs w:val="32"/>
              </w:rPr>
              <w:t>——</w:t>
            </w:r>
          </w:p>
        </w:tc>
        <w:tc>
          <w:tcPr>
            <w:tcW w:w="5103" w:type="dxa"/>
            <w:tcBorders>
              <w:top w:val="nil"/>
              <w:left w:val="nil"/>
              <w:bottom w:val="single" w:color="000000" w:sz="4" w:space="0"/>
              <w:right w:val="single" w:color="000000" w:sz="4" w:space="0"/>
            </w:tcBorders>
            <w:noWrap w:val="0"/>
            <w:vAlign w:val="center"/>
          </w:tcPr>
          <w:p w14:paraId="3AF259D0">
            <w:pPr>
              <w:ind w:firstLine="630"/>
              <w:rPr>
                <w:rFonts w:ascii="仿宋_GB2312" w:eastAsia="仿宋_GB2312"/>
                <w:sz w:val="32"/>
                <w:szCs w:val="32"/>
              </w:rPr>
            </w:pPr>
            <w:r>
              <w:rPr>
                <w:rFonts w:hint="eastAsia" w:ascii="仿宋_GB2312" w:eastAsia="仿宋_GB2312"/>
                <w:sz w:val="32"/>
                <w:szCs w:val="32"/>
              </w:rPr>
              <w:t>17419</w:t>
            </w:r>
          </w:p>
        </w:tc>
      </w:tr>
      <w:tr w14:paraId="4DF20B0B">
        <w:tblPrEx>
          <w:tblCellMar>
            <w:top w:w="0" w:type="dxa"/>
            <w:left w:w="108" w:type="dxa"/>
            <w:bottom w:w="0" w:type="dxa"/>
            <w:right w:w="108" w:type="dxa"/>
          </w:tblCellMar>
        </w:tblPrEx>
        <w:trPr>
          <w:trHeight w:val="645" w:hRule="atLeast"/>
          <w:jc w:val="center"/>
        </w:trPr>
        <w:tc>
          <w:tcPr>
            <w:tcW w:w="5224" w:type="dxa"/>
            <w:tcBorders>
              <w:top w:val="nil"/>
              <w:left w:val="single" w:color="000000" w:sz="4" w:space="0"/>
              <w:bottom w:val="single" w:color="000000" w:sz="4" w:space="0"/>
              <w:right w:val="single" w:color="000000" w:sz="4" w:space="0"/>
            </w:tcBorders>
            <w:noWrap w:val="0"/>
            <w:vAlign w:val="center"/>
          </w:tcPr>
          <w:p w14:paraId="4FA9EEC3">
            <w:pPr>
              <w:widowControl/>
              <w:jc w:val="left"/>
              <w:rPr>
                <w:rFonts w:ascii="仿宋_GB2312" w:hAnsi="Times New Roman" w:eastAsia="仿宋_GB2312"/>
                <w:sz w:val="32"/>
                <w:szCs w:val="32"/>
              </w:rPr>
            </w:pPr>
            <w:r>
              <w:rPr>
                <w:rFonts w:hint="eastAsia" w:ascii="仿宋_GB2312" w:hAnsi="Times New Roman" w:eastAsia="仿宋_GB2312"/>
                <w:sz w:val="32"/>
                <w:szCs w:val="32"/>
              </w:rPr>
              <w:t>1、房屋（平方米）</w:t>
            </w:r>
          </w:p>
        </w:tc>
        <w:tc>
          <w:tcPr>
            <w:tcW w:w="3155" w:type="dxa"/>
            <w:tcBorders>
              <w:top w:val="nil"/>
              <w:left w:val="nil"/>
              <w:bottom w:val="single" w:color="000000" w:sz="4" w:space="0"/>
              <w:right w:val="single" w:color="000000" w:sz="4" w:space="0"/>
            </w:tcBorders>
            <w:noWrap w:val="0"/>
            <w:vAlign w:val="center"/>
          </w:tcPr>
          <w:p w14:paraId="36F9248D">
            <w:pPr>
              <w:widowControl/>
              <w:jc w:val="center"/>
              <w:rPr>
                <w:rFonts w:ascii="仿宋_GB2312" w:hAnsi="Times New Roman" w:eastAsia="仿宋_GB2312"/>
                <w:sz w:val="32"/>
                <w:szCs w:val="32"/>
              </w:rPr>
            </w:pPr>
            <w:r>
              <w:rPr>
                <w:rFonts w:hint="eastAsia" w:ascii="仿宋_GB2312" w:hAnsi="Times New Roman" w:eastAsia="仿宋_GB2312"/>
                <w:sz w:val="32"/>
                <w:szCs w:val="32"/>
              </w:rPr>
              <w:t>0</w:t>
            </w:r>
          </w:p>
        </w:tc>
        <w:tc>
          <w:tcPr>
            <w:tcW w:w="5103" w:type="dxa"/>
            <w:tcBorders>
              <w:top w:val="nil"/>
              <w:left w:val="nil"/>
              <w:bottom w:val="single" w:color="000000" w:sz="4" w:space="0"/>
              <w:right w:val="single" w:color="000000" w:sz="4" w:space="0"/>
            </w:tcBorders>
            <w:noWrap w:val="0"/>
            <w:vAlign w:val="center"/>
          </w:tcPr>
          <w:p w14:paraId="2F1EA804">
            <w:pPr>
              <w:widowControl/>
              <w:jc w:val="center"/>
              <w:rPr>
                <w:rFonts w:ascii="仿宋_GB2312" w:hAnsi="Times New Roman" w:eastAsia="仿宋_GB2312"/>
                <w:sz w:val="32"/>
                <w:szCs w:val="32"/>
              </w:rPr>
            </w:pPr>
            <w:r>
              <w:rPr>
                <w:rFonts w:hint="eastAsia" w:ascii="仿宋_GB2312" w:hAnsi="Times New Roman" w:eastAsia="仿宋_GB2312"/>
                <w:sz w:val="32"/>
                <w:szCs w:val="32"/>
              </w:rPr>
              <w:t>0</w:t>
            </w:r>
          </w:p>
        </w:tc>
      </w:tr>
      <w:tr w14:paraId="2FD137A9">
        <w:tblPrEx>
          <w:tblCellMar>
            <w:top w:w="0" w:type="dxa"/>
            <w:left w:w="108" w:type="dxa"/>
            <w:bottom w:w="0" w:type="dxa"/>
            <w:right w:w="108" w:type="dxa"/>
          </w:tblCellMar>
        </w:tblPrEx>
        <w:trPr>
          <w:trHeight w:val="645" w:hRule="atLeast"/>
          <w:jc w:val="center"/>
        </w:trPr>
        <w:tc>
          <w:tcPr>
            <w:tcW w:w="5224" w:type="dxa"/>
            <w:tcBorders>
              <w:top w:val="nil"/>
              <w:left w:val="single" w:color="000000" w:sz="4" w:space="0"/>
              <w:bottom w:val="single" w:color="000000" w:sz="4" w:space="0"/>
              <w:right w:val="single" w:color="000000" w:sz="4" w:space="0"/>
            </w:tcBorders>
            <w:noWrap w:val="0"/>
            <w:vAlign w:val="center"/>
          </w:tcPr>
          <w:p w14:paraId="6FD7F8E0">
            <w:pPr>
              <w:widowControl/>
              <w:jc w:val="left"/>
              <w:rPr>
                <w:rFonts w:ascii="仿宋_GB2312" w:hAnsi="Times New Roman" w:eastAsia="仿宋_GB2312"/>
                <w:sz w:val="32"/>
                <w:szCs w:val="32"/>
              </w:rPr>
            </w:pPr>
            <w:r>
              <w:rPr>
                <w:rFonts w:hint="eastAsia" w:ascii="仿宋_GB2312" w:hAnsi="Times New Roman" w:eastAsia="仿宋_GB2312"/>
                <w:sz w:val="32"/>
                <w:szCs w:val="32"/>
              </w:rPr>
              <w:t xml:space="preserve">   其中：办公用房（平方米）</w:t>
            </w:r>
          </w:p>
        </w:tc>
        <w:tc>
          <w:tcPr>
            <w:tcW w:w="3155" w:type="dxa"/>
            <w:tcBorders>
              <w:top w:val="nil"/>
              <w:left w:val="nil"/>
              <w:bottom w:val="single" w:color="000000" w:sz="4" w:space="0"/>
              <w:right w:val="single" w:color="000000" w:sz="4" w:space="0"/>
            </w:tcBorders>
            <w:noWrap w:val="0"/>
            <w:vAlign w:val="center"/>
          </w:tcPr>
          <w:p w14:paraId="06606137">
            <w:pPr>
              <w:widowControl/>
              <w:jc w:val="center"/>
              <w:rPr>
                <w:rFonts w:ascii="仿宋_GB2312" w:hAnsi="Times New Roman" w:eastAsia="仿宋_GB2312"/>
                <w:sz w:val="32"/>
                <w:szCs w:val="32"/>
              </w:rPr>
            </w:pPr>
            <w:r>
              <w:rPr>
                <w:rFonts w:hint="eastAsia" w:ascii="仿宋_GB2312" w:hAnsi="Times New Roman" w:eastAsia="仿宋_GB2312"/>
                <w:sz w:val="32"/>
                <w:szCs w:val="32"/>
              </w:rPr>
              <w:t>0</w:t>
            </w:r>
          </w:p>
        </w:tc>
        <w:tc>
          <w:tcPr>
            <w:tcW w:w="5103" w:type="dxa"/>
            <w:tcBorders>
              <w:top w:val="nil"/>
              <w:left w:val="nil"/>
              <w:bottom w:val="single" w:color="000000" w:sz="4" w:space="0"/>
              <w:right w:val="single" w:color="000000" w:sz="4" w:space="0"/>
            </w:tcBorders>
            <w:noWrap w:val="0"/>
            <w:vAlign w:val="center"/>
          </w:tcPr>
          <w:p w14:paraId="3F7CDB3F">
            <w:pPr>
              <w:widowControl/>
              <w:jc w:val="center"/>
              <w:rPr>
                <w:rFonts w:ascii="仿宋_GB2312" w:hAnsi="Times New Roman" w:eastAsia="仿宋_GB2312"/>
                <w:sz w:val="32"/>
                <w:szCs w:val="32"/>
              </w:rPr>
            </w:pPr>
            <w:r>
              <w:rPr>
                <w:rFonts w:hint="eastAsia" w:ascii="仿宋_GB2312" w:hAnsi="Times New Roman" w:eastAsia="仿宋_GB2312"/>
                <w:sz w:val="32"/>
                <w:szCs w:val="32"/>
              </w:rPr>
              <w:t>0</w:t>
            </w:r>
          </w:p>
        </w:tc>
      </w:tr>
      <w:tr w14:paraId="527D8BED">
        <w:tblPrEx>
          <w:tblCellMar>
            <w:top w:w="0" w:type="dxa"/>
            <w:left w:w="108" w:type="dxa"/>
            <w:bottom w:w="0" w:type="dxa"/>
            <w:right w:w="108" w:type="dxa"/>
          </w:tblCellMar>
        </w:tblPrEx>
        <w:trPr>
          <w:trHeight w:val="645" w:hRule="atLeast"/>
          <w:jc w:val="center"/>
        </w:trPr>
        <w:tc>
          <w:tcPr>
            <w:tcW w:w="5224" w:type="dxa"/>
            <w:tcBorders>
              <w:top w:val="nil"/>
              <w:left w:val="single" w:color="000000" w:sz="4" w:space="0"/>
              <w:bottom w:val="single" w:color="000000" w:sz="4" w:space="0"/>
              <w:right w:val="single" w:color="000000" w:sz="4" w:space="0"/>
            </w:tcBorders>
            <w:noWrap w:val="0"/>
            <w:vAlign w:val="center"/>
          </w:tcPr>
          <w:p w14:paraId="3F0BE533">
            <w:pPr>
              <w:widowControl/>
              <w:jc w:val="left"/>
              <w:rPr>
                <w:rFonts w:ascii="仿宋_GB2312" w:hAnsi="Times New Roman" w:eastAsia="仿宋_GB2312"/>
                <w:sz w:val="32"/>
                <w:szCs w:val="32"/>
              </w:rPr>
            </w:pPr>
            <w:r>
              <w:rPr>
                <w:rFonts w:hint="eastAsia" w:ascii="仿宋_GB2312" w:hAnsi="Times New Roman" w:eastAsia="仿宋_GB2312"/>
                <w:sz w:val="32"/>
                <w:szCs w:val="32"/>
              </w:rPr>
              <w:t>2、车辆（台、辆）</w:t>
            </w:r>
          </w:p>
        </w:tc>
        <w:tc>
          <w:tcPr>
            <w:tcW w:w="3155" w:type="dxa"/>
            <w:tcBorders>
              <w:top w:val="nil"/>
              <w:left w:val="nil"/>
              <w:bottom w:val="single" w:color="000000" w:sz="4" w:space="0"/>
              <w:right w:val="single" w:color="000000" w:sz="4" w:space="0"/>
            </w:tcBorders>
            <w:noWrap w:val="0"/>
            <w:vAlign w:val="center"/>
          </w:tcPr>
          <w:p w14:paraId="6B603B0C">
            <w:pPr>
              <w:widowControl/>
              <w:jc w:val="center"/>
              <w:rPr>
                <w:rFonts w:ascii="仿宋_GB2312" w:hAnsi="Times New Roman" w:eastAsia="仿宋_GB2312"/>
                <w:sz w:val="32"/>
                <w:szCs w:val="32"/>
              </w:rPr>
            </w:pPr>
            <w:r>
              <w:rPr>
                <w:rFonts w:hint="eastAsia" w:ascii="仿宋_GB2312" w:hAnsi="Times New Roman" w:eastAsia="仿宋_GB2312"/>
                <w:sz w:val="32"/>
                <w:szCs w:val="32"/>
              </w:rPr>
              <w:t>0</w:t>
            </w:r>
          </w:p>
        </w:tc>
        <w:tc>
          <w:tcPr>
            <w:tcW w:w="5103" w:type="dxa"/>
            <w:tcBorders>
              <w:top w:val="nil"/>
              <w:left w:val="nil"/>
              <w:bottom w:val="single" w:color="000000" w:sz="4" w:space="0"/>
              <w:right w:val="single" w:color="000000" w:sz="4" w:space="0"/>
            </w:tcBorders>
            <w:noWrap w:val="0"/>
            <w:vAlign w:val="center"/>
          </w:tcPr>
          <w:p w14:paraId="13DEBD6E">
            <w:pPr>
              <w:widowControl/>
              <w:jc w:val="center"/>
              <w:rPr>
                <w:rFonts w:ascii="仿宋_GB2312" w:hAnsi="Times New Roman" w:eastAsia="仿宋_GB2312"/>
                <w:sz w:val="32"/>
                <w:szCs w:val="32"/>
              </w:rPr>
            </w:pPr>
            <w:r>
              <w:rPr>
                <w:rFonts w:hint="eastAsia" w:ascii="仿宋_GB2312" w:hAnsi="Times New Roman" w:eastAsia="仿宋_GB2312"/>
                <w:sz w:val="32"/>
                <w:szCs w:val="32"/>
              </w:rPr>
              <w:t>0</w:t>
            </w:r>
          </w:p>
        </w:tc>
      </w:tr>
      <w:tr w14:paraId="1D94BC9C">
        <w:tblPrEx>
          <w:tblCellMar>
            <w:top w:w="0" w:type="dxa"/>
            <w:left w:w="108" w:type="dxa"/>
            <w:bottom w:w="0" w:type="dxa"/>
            <w:right w:w="108" w:type="dxa"/>
          </w:tblCellMar>
        </w:tblPrEx>
        <w:trPr>
          <w:trHeight w:val="645" w:hRule="atLeast"/>
          <w:jc w:val="center"/>
        </w:trPr>
        <w:tc>
          <w:tcPr>
            <w:tcW w:w="5224" w:type="dxa"/>
            <w:tcBorders>
              <w:top w:val="nil"/>
              <w:left w:val="single" w:color="000000" w:sz="4" w:space="0"/>
              <w:bottom w:val="single" w:color="000000" w:sz="4" w:space="0"/>
              <w:right w:val="single" w:color="000000" w:sz="4" w:space="0"/>
            </w:tcBorders>
            <w:noWrap w:val="0"/>
            <w:vAlign w:val="center"/>
          </w:tcPr>
          <w:p w14:paraId="2E8B2179">
            <w:pPr>
              <w:widowControl/>
              <w:jc w:val="left"/>
              <w:rPr>
                <w:rFonts w:ascii="仿宋_GB2312" w:hAnsi="Times New Roman" w:eastAsia="仿宋_GB2312"/>
                <w:sz w:val="32"/>
                <w:szCs w:val="32"/>
              </w:rPr>
            </w:pPr>
            <w:r>
              <w:rPr>
                <w:rFonts w:hint="eastAsia" w:ascii="仿宋_GB2312" w:hAnsi="Times New Roman" w:eastAsia="仿宋_GB2312"/>
                <w:sz w:val="32"/>
                <w:szCs w:val="32"/>
              </w:rPr>
              <w:t>3、单价在50万元以上的设备</w:t>
            </w:r>
          </w:p>
        </w:tc>
        <w:tc>
          <w:tcPr>
            <w:tcW w:w="3155" w:type="dxa"/>
            <w:tcBorders>
              <w:top w:val="nil"/>
              <w:left w:val="nil"/>
              <w:bottom w:val="single" w:color="000000" w:sz="4" w:space="0"/>
              <w:right w:val="single" w:color="000000" w:sz="4" w:space="0"/>
            </w:tcBorders>
            <w:noWrap w:val="0"/>
            <w:vAlign w:val="center"/>
          </w:tcPr>
          <w:p w14:paraId="79E98262">
            <w:pPr>
              <w:widowControl/>
              <w:jc w:val="center"/>
              <w:rPr>
                <w:rFonts w:ascii="仿宋_GB2312" w:hAnsi="Times New Roman" w:eastAsia="仿宋_GB2312"/>
                <w:sz w:val="32"/>
                <w:szCs w:val="32"/>
              </w:rPr>
            </w:pPr>
            <w:r>
              <w:rPr>
                <w:rFonts w:hint="eastAsia" w:ascii="仿宋_GB2312" w:hAnsi="Times New Roman" w:eastAsia="仿宋_GB2312"/>
                <w:sz w:val="32"/>
                <w:szCs w:val="32"/>
              </w:rPr>
              <w:t>0</w:t>
            </w:r>
          </w:p>
        </w:tc>
        <w:tc>
          <w:tcPr>
            <w:tcW w:w="5103" w:type="dxa"/>
            <w:tcBorders>
              <w:top w:val="nil"/>
              <w:left w:val="nil"/>
              <w:bottom w:val="single" w:color="000000" w:sz="4" w:space="0"/>
              <w:right w:val="single" w:color="000000" w:sz="4" w:space="0"/>
            </w:tcBorders>
            <w:noWrap w:val="0"/>
            <w:vAlign w:val="center"/>
          </w:tcPr>
          <w:p w14:paraId="1F10478F">
            <w:pPr>
              <w:widowControl/>
              <w:jc w:val="center"/>
              <w:rPr>
                <w:rFonts w:ascii="仿宋_GB2312" w:hAnsi="Times New Roman" w:eastAsia="仿宋_GB2312"/>
                <w:sz w:val="32"/>
                <w:szCs w:val="32"/>
              </w:rPr>
            </w:pPr>
            <w:r>
              <w:rPr>
                <w:rFonts w:hint="eastAsia" w:ascii="仿宋_GB2312" w:hAnsi="Times New Roman" w:eastAsia="仿宋_GB2312"/>
                <w:sz w:val="32"/>
                <w:szCs w:val="32"/>
              </w:rPr>
              <w:t>0</w:t>
            </w:r>
          </w:p>
        </w:tc>
      </w:tr>
      <w:tr w14:paraId="6662832B">
        <w:tblPrEx>
          <w:tblCellMar>
            <w:top w:w="0" w:type="dxa"/>
            <w:left w:w="108" w:type="dxa"/>
            <w:bottom w:w="0" w:type="dxa"/>
            <w:right w:w="108" w:type="dxa"/>
          </w:tblCellMar>
        </w:tblPrEx>
        <w:trPr>
          <w:trHeight w:val="645" w:hRule="atLeast"/>
          <w:jc w:val="center"/>
        </w:trPr>
        <w:tc>
          <w:tcPr>
            <w:tcW w:w="5224" w:type="dxa"/>
            <w:tcBorders>
              <w:top w:val="nil"/>
              <w:left w:val="single" w:color="000000" w:sz="4" w:space="0"/>
              <w:bottom w:val="single" w:color="000000" w:sz="4" w:space="0"/>
              <w:right w:val="single" w:color="000000" w:sz="4" w:space="0"/>
            </w:tcBorders>
            <w:noWrap w:val="0"/>
            <w:vAlign w:val="center"/>
          </w:tcPr>
          <w:p w14:paraId="3C04C8C9">
            <w:pPr>
              <w:widowControl/>
              <w:jc w:val="left"/>
              <w:rPr>
                <w:rFonts w:ascii="仿宋_GB2312" w:hAnsi="Times New Roman" w:eastAsia="仿宋_GB2312"/>
                <w:sz w:val="32"/>
                <w:szCs w:val="32"/>
              </w:rPr>
            </w:pPr>
            <w:r>
              <w:rPr>
                <w:rFonts w:hint="eastAsia" w:ascii="仿宋_GB2312" w:hAnsi="Times New Roman" w:eastAsia="仿宋_GB2312"/>
                <w:sz w:val="32"/>
                <w:szCs w:val="32"/>
              </w:rPr>
              <w:t>4、其他固定资产</w:t>
            </w:r>
          </w:p>
        </w:tc>
        <w:tc>
          <w:tcPr>
            <w:tcW w:w="3155" w:type="dxa"/>
            <w:tcBorders>
              <w:top w:val="nil"/>
              <w:left w:val="nil"/>
              <w:bottom w:val="single" w:color="000000" w:sz="4" w:space="0"/>
              <w:right w:val="single" w:color="000000" w:sz="4" w:space="0"/>
            </w:tcBorders>
            <w:noWrap w:val="0"/>
            <w:vAlign w:val="center"/>
          </w:tcPr>
          <w:p w14:paraId="62810D60">
            <w:pPr>
              <w:widowControl/>
              <w:jc w:val="center"/>
              <w:rPr>
                <w:rFonts w:ascii="仿宋_GB2312" w:hAnsi="Times New Roman" w:eastAsia="仿宋_GB2312"/>
                <w:sz w:val="32"/>
                <w:szCs w:val="32"/>
              </w:rPr>
            </w:pPr>
            <w:r>
              <w:rPr>
                <w:rFonts w:hint="eastAsia" w:ascii="仿宋_GB2312" w:hAnsi="Times New Roman" w:eastAsia="仿宋_GB2312"/>
                <w:sz w:val="32"/>
                <w:szCs w:val="32"/>
              </w:rPr>
              <w:t>9</w:t>
            </w:r>
          </w:p>
        </w:tc>
        <w:tc>
          <w:tcPr>
            <w:tcW w:w="5103" w:type="dxa"/>
            <w:tcBorders>
              <w:top w:val="nil"/>
              <w:left w:val="nil"/>
              <w:bottom w:val="single" w:color="000000" w:sz="4" w:space="0"/>
              <w:right w:val="single" w:color="000000" w:sz="4" w:space="0"/>
            </w:tcBorders>
            <w:noWrap w:val="0"/>
            <w:vAlign w:val="center"/>
          </w:tcPr>
          <w:p w14:paraId="78B89838">
            <w:pPr>
              <w:widowControl/>
              <w:jc w:val="center"/>
              <w:rPr>
                <w:rFonts w:ascii="仿宋_GB2312" w:hAnsi="Times New Roman" w:eastAsia="仿宋_GB2312"/>
                <w:sz w:val="32"/>
                <w:szCs w:val="32"/>
              </w:rPr>
            </w:pPr>
            <w:r>
              <w:rPr>
                <w:rFonts w:hint="eastAsia" w:ascii="仿宋_GB2312" w:hAnsi="Times New Roman" w:eastAsia="仿宋_GB2312"/>
                <w:sz w:val="32"/>
                <w:szCs w:val="32"/>
              </w:rPr>
              <w:t>17419</w:t>
            </w:r>
          </w:p>
        </w:tc>
      </w:tr>
    </w:tbl>
    <w:p w14:paraId="63F9F2BE">
      <w:pPr>
        <w:ind w:left="198" w:firstLine="640"/>
        <w:jc w:val="left"/>
        <w:rPr>
          <w:rFonts w:hint="eastAsia" w:ascii="仿宋_GB2312" w:hAnsi="Times New Roman" w:eastAsia="仿宋_GB2312"/>
          <w:sz w:val="32"/>
          <w:szCs w:val="32"/>
        </w:rPr>
      </w:pPr>
      <w:r>
        <w:rPr>
          <w:rFonts w:hint="eastAsia" w:ascii="仿宋_GB2312" w:hAnsi="Times New Roman" w:eastAsia="仿宋_GB2312"/>
          <w:sz w:val="32"/>
          <w:szCs w:val="32"/>
        </w:rPr>
        <w:t>八、名词解释</w:t>
      </w:r>
    </w:p>
    <w:p w14:paraId="123E6746">
      <w:pPr>
        <w:tabs>
          <w:tab w:val="left" w:pos="11490"/>
        </w:tabs>
        <w:ind w:firstLine="643"/>
        <w:rPr>
          <w:rFonts w:hint="eastAsia" w:ascii="仿宋_GB2312" w:hAnsi="Times New Roman" w:eastAsia="仿宋_GB2312"/>
          <w:sz w:val="32"/>
          <w:szCs w:val="32"/>
        </w:rPr>
      </w:pPr>
      <w:r>
        <w:rPr>
          <w:rFonts w:hint="eastAsia" w:ascii="仿宋_GB2312" w:hAnsi="Times New Roman" w:eastAsia="仿宋_GB2312"/>
          <w:b/>
          <w:sz w:val="32"/>
          <w:szCs w:val="32"/>
        </w:rPr>
        <w:t>1、一般公共预算拨款收入：</w:t>
      </w:r>
      <w:r>
        <w:rPr>
          <w:rFonts w:hint="eastAsia" w:ascii="仿宋_GB2312" w:hAnsi="Times New Roman" w:eastAsia="仿宋_GB2312"/>
          <w:sz w:val="32"/>
          <w:szCs w:val="32"/>
        </w:rPr>
        <w:t>指省级财政当年拨付的资金。</w:t>
      </w:r>
    </w:p>
    <w:p w14:paraId="3A2BCE51">
      <w:pPr>
        <w:tabs>
          <w:tab w:val="left" w:pos="11490"/>
        </w:tabs>
        <w:ind w:firstLine="643"/>
        <w:rPr>
          <w:rFonts w:hint="eastAsia" w:ascii="仿宋_GB2312" w:hAnsi="Times New Roman" w:eastAsia="仿宋_GB2312"/>
          <w:sz w:val="32"/>
          <w:szCs w:val="32"/>
        </w:rPr>
      </w:pPr>
      <w:r>
        <w:rPr>
          <w:rFonts w:hint="eastAsia" w:ascii="仿宋_GB2312" w:hAnsi="Times New Roman" w:eastAsia="仿宋_GB2312"/>
          <w:b/>
          <w:sz w:val="32"/>
          <w:szCs w:val="32"/>
        </w:rPr>
        <w:t>2、事业收入：</w:t>
      </w:r>
      <w:r>
        <w:rPr>
          <w:rFonts w:hint="eastAsia" w:ascii="仿宋_GB2312" w:hAnsi="Times New Roman" w:eastAsia="仿宋_GB2312"/>
          <w:sz w:val="32"/>
          <w:szCs w:val="32"/>
        </w:rPr>
        <w:t>指事业单位开展专业业务活动及辅助活动所取得的收入。</w:t>
      </w:r>
    </w:p>
    <w:p w14:paraId="40C20D29">
      <w:pPr>
        <w:tabs>
          <w:tab w:val="left" w:pos="11490"/>
        </w:tabs>
        <w:ind w:firstLine="643"/>
        <w:rPr>
          <w:rFonts w:hint="eastAsia" w:ascii="仿宋_GB2312" w:hAnsi="Times New Roman" w:eastAsia="仿宋_GB2312"/>
          <w:sz w:val="32"/>
          <w:szCs w:val="32"/>
        </w:rPr>
      </w:pPr>
      <w:r>
        <w:rPr>
          <w:rFonts w:hint="eastAsia" w:ascii="仿宋_GB2312" w:hAnsi="Times New Roman" w:eastAsia="仿宋_GB2312"/>
          <w:b/>
          <w:sz w:val="32"/>
          <w:szCs w:val="32"/>
        </w:rPr>
        <w:t>3、基本支出：</w:t>
      </w:r>
      <w:r>
        <w:rPr>
          <w:rFonts w:hint="eastAsia" w:ascii="仿宋_GB2312" w:hAnsi="Times New Roman" w:eastAsia="仿宋_GB2312"/>
          <w:sz w:val="32"/>
          <w:szCs w:val="32"/>
        </w:rPr>
        <w:t>指为保障机构正常运转、完成日常工作任务而发生的人员支出和公用支出。</w:t>
      </w:r>
    </w:p>
    <w:p w14:paraId="4C633600">
      <w:pPr>
        <w:tabs>
          <w:tab w:val="left" w:pos="11490"/>
        </w:tabs>
        <w:ind w:firstLine="643"/>
        <w:rPr>
          <w:rFonts w:hint="eastAsia" w:ascii="仿宋_GB2312" w:hAnsi="Times New Roman" w:eastAsia="仿宋_GB2312"/>
          <w:sz w:val="32"/>
          <w:szCs w:val="32"/>
        </w:rPr>
      </w:pPr>
      <w:r>
        <w:rPr>
          <w:rFonts w:hint="eastAsia" w:ascii="仿宋_GB2312" w:hAnsi="Times New Roman" w:eastAsia="仿宋_GB2312"/>
          <w:b/>
          <w:sz w:val="32"/>
          <w:szCs w:val="32"/>
        </w:rPr>
        <w:t>4、项目支出：</w:t>
      </w:r>
      <w:r>
        <w:rPr>
          <w:rFonts w:hint="eastAsia" w:ascii="仿宋_GB2312" w:hAnsi="Times New Roman" w:eastAsia="仿宋_GB2312"/>
          <w:sz w:val="32"/>
          <w:szCs w:val="32"/>
        </w:rPr>
        <w:t>指在基本支出之外为完成特定行政任务和事业发展目标所发生的支出。</w:t>
      </w:r>
    </w:p>
    <w:p w14:paraId="4127875B">
      <w:pPr>
        <w:tabs>
          <w:tab w:val="left" w:pos="11490"/>
        </w:tabs>
        <w:ind w:firstLine="643"/>
        <w:rPr>
          <w:rFonts w:hint="eastAsia" w:ascii="仿宋_GB2312" w:hAnsi="Times New Roman" w:eastAsia="仿宋_GB2312"/>
          <w:sz w:val="32"/>
          <w:szCs w:val="32"/>
        </w:rPr>
      </w:pPr>
      <w:r>
        <w:rPr>
          <w:rFonts w:hint="eastAsia" w:ascii="仿宋_GB2312" w:hAnsi="Times New Roman" w:eastAsia="仿宋_GB2312"/>
          <w:b/>
          <w:sz w:val="32"/>
          <w:szCs w:val="32"/>
        </w:rPr>
        <w:t>5、“三公”经费：</w:t>
      </w:r>
      <w:r>
        <w:rPr>
          <w:rFonts w:hint="eastAsia" w:ascii="仿宋_GB2312" w:hAnsi="Times New Roman" w:eastAsia="仿宋_GB2312"/>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FDBA3B3">
      <w:pPr>
        <w:tabs>
          <w:tab w:val="left" w:pos="11490"/>
        </w:tabs>
        <w:ind w:firstLine="643"/>
        <w:rPr>
          <w:rFonts w:hint="eastAsia" w:ascii="仿宋_GB2312" w:hAnsi="Times New Roman" w:eastAsia="仿宋_GB2312"/>
          <w:sz w:val="32"/>
          <w:szCs w:val="32"/>
        </w:rPr>
      </w:pPr>
      <w:r>
        <w:rPr>
          <w:rFonts w:hint="eastAsia" w:ascii="仿宋_GB2312" w:hAnsi="Times New Roman" w:eastAsia="仿宋_GB2312"/>
          <w:b/>
          <w:sz w:val="32"/>
          <w:szCs w:val="32"/>
        </w:rPr>
        <w:t>6、机关运行费：</w:t>
      </w:r>
      <w:r>
        <w:rPr>
          <w:rFonts w:hint="eastAsia" w:ascii="仿宋_GB2312" w:hAnsi="Times New Roman" w:eastAsia="仿宋_GB2312"/>
          <w:sz w:val="32"/>
          <w:szCs w:val="32"/>
        </w:rPr>
        <w:t>是指各部门的公用经费，包括办公费、印刷费、电费、邮电费、取暖费、差旅费、维修费、租赁费、会议费、培训费、公务接待费、劳务费、工会经费、福利费、一般设备购置费、公务用车运行维护费以及其他费用等</w:t>
      </w:r>
    </w:p>
    <w:p w14:paraId="3162FA95">
      <w:pPr>
        <w:tabs>
          <w:tab w:val="left" w:pos="11490"/>
        </w:tabs>
        <w:ind w:firstLine="640"/>
        <w:rPr>
          <w:rFonts w:hint="eastAsia" w:ascii="仿宋_GB2312" w:hAnsi="Times New Roman" w:eastAsia="仿宋_GB2312"/>
          <w:sz w:val="32"/>
          <w:szCs w:val="32"/>
        </w:rPr>
      </w:pPr>
      <w:r>
        <w:rPr>
          <w:rFonts w:hint="eastAsia" w:ascii="仿宋_GB2312" w:hAnsi="Times New Roman" w:eastAsia="仿宋_GB2312"/>
          <w:sz w:val="32"/>
          <w:szCs w:val="32"/>
        </w:rPr>
        <w:t>九、其他需要说明的事项</w:t>
      </w:r>
    </w:p>
    <w:p w14:paraId="2EE8C808">
      <w:pPr>
        <w:ind w:firstLine="640"/>
        <w:jc w:val="left"/>
        <w:outlineLvl w:val="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1、我部门无政府基金预算，《政府基金预算财政拨款支出表》为空表列示。</w:t>
      </w:r>
    </w:p>
    <w:p w14:paraId="2BBF5280">
      <w:pPr>
        <w:tabs>
          <w:tab w:val="left" w:pos="11490"/>
        </w:tabs>
        <w:ind w:firstLine="640"/>
        <w:rPr>
          <w:rFonts w:hint="eastAsia" w:ascii="仿宋_GB2312" w:hAnsi="Times New Roman" w:eastAsia="仿宋_GB2312"/>
          <w:sz w:val="32"/>
          <w:szCs w:val="32"/>
        </w:rPr>
      </w:pPr>
      <w:r>
        <w:rPr>
          <w:rFonts w:hint="eastAsia" w:ascii="仿宋_GB2312" w:hAnsi="Times New Roman" w:eastAsia="仿宋_GB2312"/>
          <w:color w:val="000000"/>
          <w:sz w:val="32"/>
          <w:szCs w:val="32"/>
        </w:rPr>
        <w:t>2、我部门无国有资本经营预算，《国有资本经营预算财政拨款支出表》为空表列示。</w:t>
      </w:r>
    </w:p>
    <w:sectPr>
      <w:pgSz w:w="16840" w:h="11907"/>
      <w:pgMar w:top="1474" w:right="1440" w:bottom="1474" w:left="1418" w:header="851" w:footer="992"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ZjFlNDJmMmQ5OTI3NTVjNTMxNjk1MjBmOGE3MjAifQ=="/>
  </w:docVars>
  <w:rsids>
    <w:rsidRoot w:val="00000000"/>
    <w:rsid w:val="19E113E6"/>
    <w:rsid w:val="1B481022"/>
    <w:rsid w:val="22716950"/>
    <w:rsid w:val="5F370C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2"/>
    <w:qFormat/>
    <w:uiPriority w:val="0"/>
    <w:pPr>
      <w:widowControl w:val="0"/>
      <w:jc w:val="both"/>
    </w:pPr>
    <w:rPr>
      <w:rFonts w:hint="default" w:ascii="Calibri" w:hAnsi="Calibri" w:eastAsia="宋体" w:cs="Times New Roman"/>
      <w:sz w:val="21"/>
      <w:szCs w:val="22"/>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1">
    <w:name w:val="endnote reference"/>
    <w:semiHidden/>
    <w:unhideWhenUsed/>
    <w:uiPriority w:val="99"/>
    <w:rPr>
      <w:vertAlign w:val="superscript"/>
    </w:rPr>
  </w:style>
  <w:style w:type="character" w:styleId="32">
    <w:name w:val="Hyperlink"/>
    <w:unhideWhenUsed/>
    <w:uiPriority w:val="99"/>
    <w:rPr>
      <w:color w:val="0000FF" w:themeColor="hyperlink"/>
      <w:u w:val="single"/>
      <w14:textFill>
        <w14:solidFill>
          <w14:schemeClr w14:val="hlink"/>
        </w14:solidFill>
      </w14:textFill>
    </w:rPr>
  </w:style>
  <w:style w:type="character" w:styleId="33">
    <w:name w:val="footnote reference"/>
    <w:unhideWhenUsed/>
    <w:uiPriority w:val="99"/>
    <w:rPr>
      <w:vertAlign w:val="superscript"/>
    </w:rPr>
  </w:style>
  <w:style w:type="character" w:customStyle="1" w:styleId="34">
    <w:name w:val="Heading 1 Char"/>
    <w:link w:val="2"/>
    <w:uiPriority w:val="9"/>
    <w:rPr>
      <w:rFonts w:ascii="等线" w:hAnsi="等线" w:eastAsia="等线" w:cs="等线"/>
      <w:sz w:val="40"/>
      <w:szCs w:val="40"/>
    </w:rPr>
  </w:style>
  <w:style w:type="character" w:customStyle="1" w:styleId="35">
    <w:name w:val="Heading 2 Char"/>
    <w:link w:val="3"/>
    <w:uiPriority w:val="9"/>
    <w:rPr>
      <w:rFonts w:ascii="等线" w:hAnsi="等线" w:eastAsia="等线" w:cs="等线"/>
      <w:sz w:val="34"/>
    </w:rPr>
  </w:style>
  <w:style w:type="character" w:customStyle="1" w:styleId="36">
    <w:name w:val="Heading 3 Char"/>
    <w:link w:val="4"/>
    <w:uiPriority w:val="9"/>
    <w:rPr>
      <w:rFonts w:ascii="等线" w:hAnsi="等线" w:eastAsia="等线" w:cs="等线"/>
      <w:sz w:val="30"/>
      <w:szCs w:val="30"/>
    </w:rPr>
  </w:style>
  <w:style w:type="character" w:customStyle="1" w:styleId="37">
    <w:name w:val="Heading 4 Char"/>
    <w:link w:val="5"/>
    <w:uiPriority w:val="9"/>
    <w:rPr>
      <w:rFonts w:ascii="等线" w:hAnsi="等线" w:eastAsia="等线" w:cs="等线"/>
      <w:b/>
      <w:bCs/>
      <w:sz w:val="26"/>
      <w:szCs w:val="26"/>
    </w:rPr>
  </w:style>
  <w:style w:type="character" w:customStyle="1" w:styleId="38">
    <w:name w:val="Heading 5 Char"/>
    <w:link w:val="6"/>
    <w:qFormat/>
    <w:uiPriority w:val="9"/>
    <w:rPr>
      <w:rFonts w:ascii="等线" w:hAnsi="等线" w:eastAsia="等线" w:cs="等线"/>
      <w:b/>
      <w:bCs/>
      <w:sz w:val="24"/>
      <w:szCs w:val="24"/>
    </w:rPr>
  </w:style>
  <w:style w:type="character" w:customStyle="1" w:styleId="39">
    <w:name w:val="Heading 6 Char"/>
    <w:link w:val="7"/>
    <w:qFormat/>
    <w:uiPriority w:val="9"/>
    <w:rPr>
      <w:rFonts w:ascii="等线" w:hAnsi="等线" w:eastAsia="等线" w:cs="等线"/>
      <w:b/>
      <w:bCs/>
      <w:sz w:val="22"/>
      <w:szCs w:val="22"/>
    </w:rPr>
  </w:style>
  <w:style w:type="character" w:customStyle="1" w:styleId="40">
    <w:name w:val="Heading 7 Char"/>
    <w:link w:val="8"/>
    <w:uiPriority w:val="9"/>
    <w:rPr>
      <w:rFonts w:ascii="等线" w:hAnsi="等线" w:eastAsia="等线" w:cs="等线"/>
      <w:b/>
      <w:bCs/>
      <w:i/>
      <w:iCs/>
      <w:sz w:val="22"/>
      <w:szCs w:val="22"/>
    </w:rPr>
  </w:style>
  <w:style w:type="character" w:customStyle="1" w:styleId="41">
    <w:name w:val="Heading 8 Char"/>
    <w:link w:val="9"/>
    <w:qFormat/>
    <w:uiPriority w:val="9"/>
    <w:rPr>
      <w:rFonts w:ascii="等线" w:hAnsi="等线" w:eastAsia="等线" w:cs="等线"/>
      <w:i/>
      <w:iCs/>
      <w:sz w:val="22"/>
      <w:szCs w:val="22"/>
    </w:rPr>
  </w:style>
  <w:style w:type="character" w:customStyle="1" w:styleId="42">
    <w:name w:val="Heading 9 Char"/>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uiPriority w:val="10"/>
    <w:rPr>
      <w:sz w:val="48"/>
      <w:szCs w:val="48"/>
    </w:rPr>
  </w:style>
  <w:style w:type="character" w:customStyle="1" w:styleId="46">
    <w:name w:val="Subtitle Char"/>
    <w:link w:val="21"/>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uiPriority w:val="30"/>
    <w:rPr>
      <w:i/>
    </w:rPr>
  </w:style>
  <w:style w:type="character" w:customStyle="1" w:styleId="51">
    <w:name w:val="Header Char"/>
    <w:link w:val="18"/>
    <w:uiPriority w:val="99"/>
  </w:style>
  <w:style w:type="character" w:customStyle="1" w:styleId="52">
    <w:name w:val="Footer Char"/>
    <w:link w:val="17"/>
    <w:uiPriority w:val="99"/>
  </w:style>
  <w:style w:type="character" w:customStyle="1" w:styleId="53">
    <w:name w:val="Caption Char"/>
    <w:link w:val="17"/>
    <w:uiPriority w:val="99"/>
  </w:style>
  <w:style w:type="table" w:customStyle="1" w:styleId="54">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5">
    <w:name w:val="Plain Table 1"/>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7">
    <w:name w:val="Plain Table 3"/>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4"/>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5"/>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Grid Table 1 Ligh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1">
    <w:name w:val="Grid Table 1 Light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2">
    <w:name w:val="Grid Table 1 Light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3">
    <w:name w:val="Grid Table 1 Light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5">
    <w:name w:val="Grid Table 1 Light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6">
    <w:name w:val="Grid Table 1 Light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7">
    <w:name w:val="Grid Table 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8">
    <w:name w:val="Grid Table 2 - Accent 1"/>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69">
    <w:name w:val="Grid Table 2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0">
    <w:name w:val="Grid Table 2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1">
    <w:name w:val="Grid Table 2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2">
    <w:name w:val="Grid Table 2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3">
    <w:name w:val="Grid Table 2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4">
    <w:name w:val="Grid Table 3"/>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7">
    <w:name w:val="Grid Table 3 - Accent 3"/>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8">
    <w:name w:val="Grid Table 3 - Accent 4"/>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9">
    <w:name w:val="Grid Table 3 - Accent 5"/>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0">
    <w:name w:val="Grid Table 3 - Accent 6"/>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1">
    <w:name w:val="Grid Table 4"/>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4 - Accent 1"/>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3">
    <w:name w:val="Grid Table 4 - Accent 2"/>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4">
    <w:name w:val="Grid Table 4 - Accent 3"/>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5">
    <w:name w:val="Grid Table 4 - Accent 4"/>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6">
    <w:name w:val="Grid Table 4 - Accent 5"/>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7">
    <w:name w:val="Grid Table 4 - Accent 6"/>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8">
    <w:name w:val="Grid Table 5 Dark"/>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9">
    <w:name w:val="Grid Table 5 Dark- Accent 1"/>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0">
    <w:name w:val="Grid Table 5 Dark - Accent 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1">
    <w:name w:val="Grid Table 5 Dark - Accent 3"/>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2">
    <w:name w:val="Grid Table 5 Dark- Accent 4"/>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3">
    <w:name w:val="Grid Table 5 Dark - Accent 5"/>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4">
    <w:name w:val="Grid Table 5 Dark - Accent 6"/>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5">
    <w:name w:val="Grid Table 6 Colorful"/>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1"/>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8">
    <w:name w:val="Grid Table 6 Colorful - Accent 3"/>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9">
    <w:name w:val="Grid Table 6 Colorful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0">
    <w:name w:val="Grid Table 6 Colorful - Accent 5"/>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1">
    <w:name w:val="Grid Table 6 Colorful - Accent 6"/>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2">
    <w:name w:val="Grid Table 7 Colorful"/>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1"/>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2"/>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7 Colorful - Accent 3"/>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7 Colorful - Accent 4"/>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7 Colorful - Accent 5"/>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8">
    <w:name w:val="Grid Table 7 Colorful - Accent 6"/>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9">
    <w:name w:val="List Table 1 Ligh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0">
    <w:name w:val="List Table 1 Light - Accent 1"/>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1">
    <w:name w:val="List Table 1 Light - Accent 2"/>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2">
    <w:name w:val="List Table 1 Light - Accent 3"/>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3">
    <w:name w:val="List Table 1 Light - Accent 4"/>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4">
    <w:name w:val="List Table 1 Light - Accent 5"/>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5">
    <w:name w:val="List Table 1 Light - Accent 6"/>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6">
    <w:name w:val="List Table 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2 - Accent 1"/>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8">
    <w:name w:val="List Table 2 - Accent 2"/>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9">
    <w:name w:val="List Table 2 - Accent 3"/>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0">
    <w:name w:val="List Table 2 - Accent 4"/>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1">
    <w:name w:val="List Table 2 - Accent 5"/>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2">
    <w:name w:val="List Table 2 - Accent 6"/>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3">
    <w:name w:val="List Table 3"/>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4">
    <w:name w:val="List Table 3 - Accent 1"/>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5">
    <w:name w:val="List Table 3 - Accent 2"/>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6">
    <w:name w:val="List Table 3 - Accent 3"/>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7">
    <w:name w:val="List Table 3 - Accent 4"/>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8">
    <w:name w:val="List Table 3 - Accent 5"/>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9">
    <w:name w:val="List Table 3 - Accent 6"/>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0">
    <w:name w:val="List Table 4"/>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1">
    <w:name w:val="List Table 4 - Accent 1"/>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2">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3">
    <w:name w:val="List Table 4 - Accent 3"/>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4">
    <w:name w:val="List Table 4 - Accent 4"/>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5">
    <w:name w:val="List Table 4 - Accent 5"/>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6">
    <w:name w:val="List Table 4 - Accent 6"/>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7">
    <w:name w:val="List Table 5 Dark"/>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8">
    <w:name w:val="List Table 5 Dark - Accent 1"/>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39">
    <w:name w:val="List Table 5 Dark - Accent 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0">
    <w:name w:val="List Table 5 Dark - Accent 3"/>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1">
    <w:name w:val="List Table 5 Dark - Accent 4"/>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2">
    <w:name w:val="List Table 5 Dark - Accent 5"/>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3">
    <w:name w:val="List Table 5 Dark - Accent 6"/>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4">
    <w:name w:val="List Table 6 Colorful"/>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5">
    <w:name w:val="List Table 6 Colorful - Accent 1"/>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7">
    <w:name w:val="List Table 6 Colorful - Accent 3"/>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6"/>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1">
    <w:name w:val="List Table 7 Colorful"/>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2">
    <w:name w:val="List Table 7 Colorful - Accent 1"/>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3">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7 Colorful - Accent 3"/>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4"/>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5"/>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6"/>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ned - Accen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9">
    <w:name w:val="Lined - Accent 1"/>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0">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1">
    <w:name w:val="Lined - Accent 3"/>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2">
    <w:name w:val="Lined - Accent 4"/>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3">
    <w:name w:val="Lined - Accent 5"/>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4">
    <w:name w:val="Lined - Accent 6"/>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5">
    <w:name w:val="Bordered &amp; Lined - Accen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Bordered &amp; Lined - Accent 1"/>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7">
    <w:name w:val="Bordered &amp; Lined - Accent 2"/>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9">
    <w:name w:val="Bordered &amp; Lined - Accent 4"/>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0">
    <w:name w:val="Bordered &amp; Lined - Accent 5"/>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1">
    <w:name w:val="Bordered &amp; Lined - Accent 6"/>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2">
    <w:name w:val="Bordered"/>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3">
    <w:name w:val="Bordered - Accent 1"/>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4">
    <w:name w:val="Bordered - Accent 2"/>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5">
    <w:name w:val="Bordered - Accent 3"/>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6">
    <w:name w:val="Bordered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7">
    <w:name w:val="Bordered - Accent 5"/>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8">
    <w:name w:val="Bordered - Accent 6"/>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9">
    <w:name w:val="Footnote Text Char"/>
    <w:link w:val="22"/>
    <w:uiPriority w:val="99"/>
    <w:rPr>
      <w:sz w:val="18"/>
    </w:rPr>
  </w:style>
  <w:style w:type="character" w:customStyle="1" w:styleId="180">
    <w:name w:val="Endnote Text Char"/>
    <w:link w:val="16"/>
    <w:uiPriority w:val="99"/>
    <w:rPr>
      <w:sz w:val="20"/>
    </w:rPr>
  </w:style>
  <w:style w:type="paragraph" w:customStyle="1" w:styleId="181">
    <w:name w:val="TOC Heading"/>
    <w:unhideWhenUsed/>
    <w:qFormat/>
    <w:uiPriority w:val="39"/>
    <w:rPr>
      <w:rFonts w:hint="default" w:ascii="Times New Roman" w:hAnsi="Times New Roman" w:eastAsia="宋体" w:cs="Times New Roman"/>
    </w:rPr>
  </w:style>
  <w:style w:type="character" w:customStyle="1" w:styleId="182">
    <w:name w:val="默认段落字体1"/>
    <w:link w:val="1"/>
    <w:semiHidden/>
    <w:uiPriority w:val="0"/>
  </w:style>
  <w:style w:type="table" w:customStyle="1" w:styleId="183">
    <w:name w:val="普通表格1"/>
    <w:semiHidden/>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4">
    <w:name w:val="页眉1"/>
    <w:basedOn w:val="1"/>
    <w:link w:val="185"/>
    <w:uiPriority w:val="0"/>
    <w:pPr>
      <w:pBdr>
        <w:bottom w:val="single" w:color="000000" w:sz="6" w:space="1"/>
      </w:pBdr>
      <w:tabs>
        <w:tab w:val="center" w:pos="4153"/>
        <w:tab w:val="right" w:pos="8306"/>
      </w:tabs>
      <w:jc w:val="center"/>
    </w:pPr>
    <w:rPr>
      <w:sz w:val="18"/>
      <w:szCs w:val="18"/>
    </w:rPr>
  </w:style>
  <w:style w:type="character" w:customStyle="1" w:styleId="185">
    <w:name w:val=" Char Char1"/>
    <w:basedOn w:val="182"/>
    <w:link w:val="184"/>
    <w:uiPriority w:val="0"/>
    <w:rPr>
      <w:rFonts w:ascii="Calibri" w:hAnsi="Calibri"/>
      <w:sz w:val="18"/>
      <w:szCs w:val="18"/>
    </w:rPr>
  </w:style>
  <w:style w:type="paragraph" w:customStyle="1" w:styleId="186">
    <w:name w:val="页脚1"/>
    <w:basedOn w:val="1"/>
    <w:link w:val="187"/>
    <w:uiPriority w:val="0"/>
    <w:pPr>
      <w:tabs>
        <w:tab w:val="center" w:pos="4153"/>
        <w:tab w:val="right" w:pos="8306"/>
      </w:tabs>
      <w:jc w:val="left"/>
    </w:pPr>
    <w:rPr>
      <w:sz w:val="18"/>
      <w:szCs w:val="18"/>
    </w:rPr>
  </w:style>
  <w:style w:type="character" w:customStyle="1" w:styleId="187">
    <w:name w:val=" Char Char"/>
    <w:basedOn w:val="182"/>
    <w:link w:val="186"/>
    <w:uiPriority w:val="0"/>
    <w:rPr>
      <w:rFonts w:ascii="Calibri" w:hAnsi="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10</Pages>
  <Words>4904</Words>
  <Characters>5178</Characters>
  <TotalTime>8</TotalTime>
  <ScaleCrop>false</ScaleCrop>
  <LinksUpToDate>false</LinksUpToDate>
  <CharactersWithSpaces>5220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2018-08-24T07:51:00Z</dcterms:created>
  <dc:creator>PC</dc:creator>
  <cp:lastModifiedBy>荼靡</cp:lastModifiedBy>
  <dcterms:modified xsi:type="dcterms:W3CDTF">2024-08-21T06:43:33Z</dcterms:modified>
  <dc:title>中共承德市鹰手营子矿区委区直机关工委2018年部门预算信息公开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55838805A6BA4D3B85CB9B6E8DEDDA76_13</vt:lpwstr>
  </property>
</Properties>
</file>