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jc w:val="center"/>
        <w:rPr>
          <w:rFonts w:hint="eastAsia" w:ascii="仿宋_GB2312" w:eastAsia="仿宋_GB2312" w:cs="仿宋_GB2312"/>
          <w:sz w:val="44"/>
          <w:szCs w:val="44"/>
        </w:rPr>
      </w:pPr>
    </w:p>
    <w:p>
      <w:pPr>
        <w:spacing w:line="579" w:lineRule="exact"/>
        <w:jc w:val="center"/>
        <w:rPr>
          <w:rFonts w:hint="eastAsia" w:ascii="仿宋_GB2312" w:eastAsia="仿宋_GB2312" w:cs="仿宋_GB2312"/>
          <w:sz w:val="44"/>
          <w:szCs w:val="44"/>
        </w:rPr>
      </w:pPr>
    </w:p>
    <w:p>
      <w:pPr>
        <w:spacing w:line="579" w:lineRule="exact"/>
        <w:jc w:val="center"/>
        <w:rPr>
          <w:rFonts w:hint="eastAsia" w:ascii="仿宋_GB2312" w:eastAsia="仿宋_GB2312" w:cs="仿宋_GB2312"/>
          <w:sz w:val="44"/>
          <w:szCs w:val="44"/>
        </w:rPr>
      </w:pPr>
    </w:p>
    <w:p>
      <w:pPr>
        <w:spacing w:line="579" w:lineRule="exact"/>
        <w:jc w:val="center"/>
        <w:rPr>
          <w:rFonts w:ascii="仿宋_GB2312" w:eastAsia="仿宋_GB2312" w:cs="Times New Roman"/>
          <w:sz w:val="44"/>
          <w:szCs w:val="44"/>
        </w:rPr>
      </w:pPr>
      <w:r>
        <w:rPr>
          <w:rFonts w:hint="eastAsia" w:ascii="仿宋_GB2312" w:eastAsia="仿宋_GB2312" w:cs="仿宋_GB2312"/>
          <w:sz w:val="44"/>
          <w:szCs w:val="44"/>
          <w:lang w:val="en-US" w:eastAsia="zh-CN"/>
        </w:rPr>
        <w:t xml:space="preserve">百 事 通 </w:t>
      </w:r>
      <w:r>
        <w:rPr>
          <w:rFonts w:hint="eastAsia" w:ascii="仿宋_GB2312" w:eastAsia="仿宋_GB2312" w:cs="仿宋_GB2312"/>
          <w:sz w:val="44"/>
          <w:szCs w:val="44"/>
          <w:lang w:eastAsia="zh-CN"/>
        </w:rPr>
        <w:t>办</w:t>
      </w:r>
      <w:r>
        <w:rPr>
          <w:rFonts w:ascii="仿宋_GB2312" w:eastAsia="仿宋_GB2312" w:cs="仿宋_GB2312"/>
          <w:sz w:val="44"/>
          <w:szCs w:val="44"/>
        </w:rPr>
        <w:t xml:space="preserve"> </w:t>
      </w:r>
      <w:r>
        <w:rPr>
          <w:rFonts w:hint="eastAsia" w:ascii="仿宋_GB2312" w:eastAsia="仿宋_GB2312" w:cs="仿宋_GB2312"/>
          <w:sz w:val="44"/>
          <w:szCs w:val="44"/>
          <w:lang w:eastAsia="zh-CN"/>
        </w:rPr>
        <w:t>事</w:t>
      </w:r>
      <w:r>
        <w:rPr>
          <w:rFonts w:ascii="仿宋_GB2312" w:eastAsia="仿宋_GB2312" w:cs="仿宋_GB2312"/>
          <w:sz w:val="44"/>
          <w:szCs w:val="44"/>
        </w:rPr>
        <w:t xml:space="preserve"> </w:t>
      </w:r>
      <w:r>
        <w:rPr>
          <w:rFonts w:hint="eastAsia" w:ascii="仿宋_GB2312" w:eastAsia="仿宋_GB2312" w:cs="仿宋_GB2312"/>
          <w:sz w:val="44"/>
          <w:szCs w:val="44"/>
        </w:rPr>
        <w:t>指</w:t>
      </w:r>
      <w:r>
        <w:rPr>
          <w:rFonts w:ascii="仿宋_GB2312" w:eastAsia="仿宋_GB2312" w:cs="仿宋_GB2312"/>
          <w:sz w:val="44"/>
          <w:szCs w:val="44"/>
        </w:rPr>
        <w:t xml:space="preserve"> </w:t>
      </w:r>
      <w:r>
        <w:rPr>
          <w:rFonts w:hint="eastAsia" w:ascii="仿宋_GB2312" w:eastAsia="仿宋_GB2312" w:cs="仿宋_GB2312"/>
          <w:sz w:val="44"/>
          <w:szCs w:val="44"/>
        </w:rPr>
        <w:t>南</w:t>
      </w: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jc w:val="center"/>
        <w:rPr>
          <w:rFonts w:ascii="仿宋_GB2312" w:eastAsia="仿宋_GB2312" w:cs="Times New Roman"/>
          <w:sz w:val="32"/>
          <w:szCs w:val="32"/>
        </w:rPr>
      </w:pPr>
      <w:r>
        <w:rPr>
          <w:rFonts w:hint="eastAsia" w:ascii="仿宋_GB2312" w:eastAsia="仿宋_GB2312" w:cs="Times New Roman"/>
          <w:sz w:val="48"/>
          <w:szCs w:val="48"/>
          <w:lang w:eastAsia="zh-CN"/>
        </w:rPr>
        <w:t>代理记账中心</w:t>
      </w: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rPr>
          <w:rFonts w:ascii="仿宋_GB2312" w:eastAsia="仿宋_GB2312" w:cs="Times New Roman"/>
          <w:sz w:val="32"/>
          <w:szCs w:val="32"/>
        </w:rPr>
      </w:pPr>
    </w:p>
    <w:p>
      <w:pPr>
        <w:spacing w:line="579" w:lineRule="exact"/>
        <w:jc w:val="center"/>
        <w:rPr>
          <w:rFonts w:ascii="仿宋_GB2312" w:eastAsia="仿宋_GB2312" w:cs="仿宋_GB2312"/>
          <w:sz w:val="44"/>
          <w:szCs w:val="44"/>
          <w:u w:val="single"/>
        </w:rPr>
      </w:pPr>
    </w:p>
    <w:p>
      <w:pPr>
        <w:spacing w:line="579" w:lineRule="exact"/>
        <w:jc w:val="center"/>
        <w:rPr>
          <w:rFonts w:ascii="仿宋_GB2312" w:eastAsia="仿宋_GB2312" w:cs="仿宋_GB2312"/>
          <w:sz w:val="44"/>
          <w:szCs w:val="44"/>
          <w:u w:val="single"/>
        </w:rPr>
      </w:pPr>
    </w:p>
    <w:p>
      <w:pPr>
        <w:spacing w:line="579" w:lineRule="exact"/>
        <w:jc w:val="center"/>
        <w:rPr>
          <w:rFonts w:ascii="仿宋_GB2312" w:eastAsia="仿宋_GB2312" w:cs="仿宋_GB2312"/>
          <w:sz w:val="44"/>
          <w:szCs w:val="44"/>
          <w:u w:val="single"/>
        </w:rPr>
      </w:pPr>
    </w:p>
    <w:p>
      <w:pPr>
        <w:spacing w:line="579" w:lineRule="exact"/>
        <w:jc w:val="center"/>
        <w:rPr>
          <w:rFonts w:ascii="仿宋_GB2312" w:eastAsia="仿宋_GB2312" w:cs="仿宋_GB2312"/>
          <w:sz w:val="44"/>
          <w:szCs w:val="44"/>
          <w:u w:val="single"/>
        </w:rPr>
      </w:pPr>
    </w:p>
    <w:p>
      <w:pPr>
        <w:spacing w:line="579" w:lineRule="exact"/>
        <w:jc w:val="center"/>
        <w:rPr>
          <w:rFonts w:ascii="仿宋_GB2312" w:eastAsia="仿宋_GB2312" w:cs="仿宋_GB2312"/>
          <w:sz w:val="44"/>
          <w:szCs w:val="44"/>
          <w:u w:val="single"/>
        </w:rPr>
      </w:pPr>
    </w:p>
    <w:p>
      <w:pPr>
        <w:spacing w:line="579" w:lineRule="exact"/>
        <w:jc w:val="center"/>
        <w:rPr>
          <w:rFonts w:ascii="仿宋_GB2312" w:eastAsia="仿宋_GB2312" w:cs="仿宋_GB2312"/>
          <w:sz w:val="44"/>
          <w:szCs w:val="44"/>
          <w:u w:val="single"/>
        </w:rPr>
      </w:pPr>
    </w:p>
    <w:p>
      <w:pPr>
        <w:spacing w:line="579" w:lineRule="exact"/>
        <w:jc w:val="center"/>
        <w:rPr>
          <w:rFonts w:ascii="仿宋_GB2312" w:eastAsia="仿宋_GB2312" w:cs="仿宋_GB2312"/>
          <w:sz w:val="44"/>
          <w:szCs w:val="44"/>
          <w:u w:val="single"/>
        </w:rPr>
      </w:pPr>
    </w:p>
    <w:p>
      <w:pPr>
        <w:spacing w:line="579" w:lineRule="exact"/>
        <w:jc w:val="center"/>
        <w:rPr>
          <w:rFonts w:ascii="仿宋_GB2312" w:eastAsia="仿宋_GB2312" w:cs="仿宋_GB2312"/>
          <w:sz w:val="44"/>
          <w:szCs w:val="44"/>
          <w:u w:val="single"/>
        </w:rPr>
      </w:pPr>
    </w:p>
    <w:p>
      <w:pPr>
        <w:spacing w:line="579" w:lineRule="exact"/>
        <w:jc w:val="center"/>
        <w:rPr>
          <w:rFonts w:ascii="仿宋_GB2312" w:eastAsia="仿宋_GB2312" w:cs="仿宋_GB2312"/>
          <w:sz w:val="44"/>
          <w:szCs w:val="44"/>
          <w:u w:val="single"/>
        </w:rPr>
      </w:pPr>
    </w:p>
    <w:p>
      <w:pPr>
        <w:spacing w:line="579" w:lineRule="exact"/>
        <w:jc w:val="center"/>
        <w:rPr>
          <w:rFonts w:ascii="仿宋_GB2312" w:eastAsia="仿宋_GB2312" w:cs="仿宋_GB2312"/>
          <w:sz w:val="44"/>
          <w:szCs w:val="44"/>
          <w:u w:val="single"/>
        </w:rPr>
      </w:pPr>
    </w:p>
    <w:p>
      <w:pPr>
        <w:spacing w:line="579" w:lineRule="exact"/>
        <w:jc w:val="both"/>
        <w:rPr>
          <w:rFonts w:ascii="仿宋_GB2312" w:eastAsia="仿宋_GB2312" w:cs="Times New Roman"/>
          <w:sz w:val="44"/>
          <w:szCs w:val="44"/>
          <w:u w:val="single"/>
        </w:rPr>
      </w:pPr>
    </w:p>
    <w:p>
      <w:pPr>
        <w:keepNext w:val="0"/>
        <w:keepLines w:val="0"/>
        <w:pageBreakBefore w:val="0"/>
        <w:widowControl/>
        <w:numPr>
          <w:ilvl w:val="0"/>
          <w:numId w:val="1"/>
        </w:numPr>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办理条件</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申请人申请从事代理记账业务须先取得营业执照再办理“代理记账业务许可”、“设置大型户外广告及在城市建筑物、设施上悬挂、张贴宣传品审批”和“城镇污水排入排水管网许可”事项。 从事代理记账业务实体类型：个体工商户、公司类企业。 按照《河北省人民政府印发关于在全省范围内开展“证照分离”改革全覆盖工作实施方案的通知》和《中华人民共和国会计法》、《代理记账管理办法》要求，申请从事代理记账业务实行告知承诺，以申请人自愿为原则，若申请人不愿作出承诺，行政许可部门应按原审批流程办理。若申请人自愿作出承诺，在河北省范围内申请从事代理记账业务可采取告知承诺制的审批方式，经形式审查后当场作出审批决定；申请人有较严重的不良信用记录或存在曾作出虚假承诺、不履行承诺等情形的，在信用修复前不适用本告知承诺制。</w:t>
      </w:r>
    </w:p>
    <w:p>
      <w:pPr>
        <w:numPr>
          <w:ilvl w:val="0"/>
          <w:numId w:val="1"/>
        </w:numPr>
        <w:ind w:left="0" w:leftChars="0" w:firstLine="0" w:firstLineChars="0"/>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办理情形</w:t>
      </w:r>
    </w:p>
    <w:p>
      <w:pPr>
        <w:numPr>
          <w:ilvl w:val="0"/>
          <w:numId w:val="0"/>
        </w:numPr>
        <w:ind w:leftChars="0" w:firstLine="560" w:firstLineChars="200"/>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为具备执业条件的自然人申请设立除会计师以外的代理记账机构取得经营资格后，办理代理记账许可证书。</w:t>
      </w:r>
    </w:p>
    <w:p>
      <w:r>
        <w:rPr>
          <w:rFonts w:hint="eastAsia" w:ascii="仿宋_GB2312" w:hAnsi="宋体" w:eastAsia="仿宋_GB2312" w:cs="仿宋"/>
          <w:kern w:val="0"/>
          <w:sz w:val="28"/>
          <w:szCs w:val="28"/>
          <w:lang w:val="en-US" w:eastAsia="zh-CN" w:bidi="ar"/>
        </w:rPr>
        <w:t>三、牵头实施部门及机构：营子区行政审批局</w:t>
      </w:r>
    </w:p>
    <w:p>
      <w:r>
        <w:rPr>
          <w:rFonts w:hint="eastAsia" w:ascii="仿宋_GB2312" w:hAnsi="宋体" w:eastAsia="仿宋_GB2312" w:cs="仿宋"/>
          <w:kern w:val="0"/>
          <w:sz w:val="28"/>
          <w:szCs w:val="28"/>
          <w:lang w:val="en-US" w:eastAsia="zh-CN" w:bidi="ar"/>
        </w:rPr>
        <w:t>四、办理地址及时间：承德市鹰手营子矿区创业小区底商政务服务中心综合受理窗口；星期一至星期五：秋冬春季（9月1日～5月31日）上午8:30～12:00，下午13:30～17:30；夏季（6月1日～8月31日）上午8:30～12:00，下午14:30～17:30. 法定节假日除外。</w:t>
      </w:r>
    </w:p>
    <w:p>
      <w:pPr>
        <w:keepNext w:val="0"/>
        <w:keepLines w:val="0"/>
        <w:pageBreakBefore w:val="0"/>
        <w:widowControl/>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五、办理时限</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default"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承诺时限：5个工作日</w:t>
      </w:r>
    </w:p>
    <w:p>
      <w:pPr>
        <w:keepNext w:val="0"/>
        <w:keepLines w:val="0"/>
        <w:pageBreakBefore w:val="0"/>
        <w:widowControl/>
        <w:numPr>
          <w:ilvl w:val="0"/>
          <w:numId w:val="2"/>
        </w:numPr>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申请材料</w:t>
      </w:r>
    </w:p>
    <w:tbl>
      <w:tblPr>
        <w:tblStyle w:val="2"/>
        <w:tblW w:w="8382" w:type="dxa"/>
        <w:tblInd w:w="0" w:type="dxa"/>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71"/>
        <w:gridCol w:w="470"/>
        <w:gridCol w:w="3951"/>
        <w:gridCol w:w="945"/>
        <w:gridCol w:w="1320"/>
        <w:gridCol w:w="525"/>
      </w:tblGrid>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shd w:val="clear" w:color="auto" w:fill="auto"/>
          <w:tblCellMar>
            <w:top w:w="0" w:type="dxa"/>
            <w:left w:w="0" w:type="dxa"/>
            <w:bottom w:w="0" w:type="dxa"/>
            <w:right w:w="0" w:type="dxa"/>
          </w:tblCellMar>
        </w:tblPrEx>
        <w:trPr>
          <w:trHeight w:val="505" w:hRule="atLeast"/>
          <w:tblHeader/>
        </w:trPr>
        <w:tc>
          <w:tcPr>
            <w:tcW w:w="0" w:type="auto"/>
            <w:tcBorders>
              <w:top w:val="nil"/>
              <w:left w:val="single" w:color="EBEBEB" w:sz="4" w:space="0"/>
              <w:bottom w:val="single" w:color="EBEBEB" w:sz="4" w:space="0"/>
              <w:right w:val="single" w:color="EBEBEB" w:sz="4" w:space="0"/>
            </w:tcBorders>
            <w:shd w:val="clear" w:color="auto" w:fill="F6F7F8"/>
            <w:tcMar>
              <w:left w:w="96" w:type="dxa"/>
              <w:right w:w="96" w:type="dxa"/>
            </w:tcMar>
            <w:vAlign w:val="bottom"/>
          </w:tcPr>
          <w:p>
            <w:pPr>
              <w:keepNext w:val="0"/>
              <w:keepLines w:val="0"/>
              <w:widowControl/>
              <w:suppressLineNumbers w:val="0"/>
              <w:spacing w:before="0" w:beforeAutospacing="0" w:after="0" w:afterAutospacing="0" w:line="504" w:lineRule="atLeast"/>
              <w:ind w:left="0" w:right="0"/>
              <w:jc w:val="center"/>
              <w:textAlignment w:val="bottom"/>
              <w:rPr>
                <w:b/>
                <w:bCs/>
                <w:color w:val="333333"/>
                <w:sz w:val="19"/>
                <w:szCs w:val="19"/>
              </w:rPr>
            </w:pPr>
            <w:r>
              <w:rPr>
                <w:rFonts w:ascii="宋体" w:hAnsi="宋体" w:eastAsia="宋体" w:cs="宋体"/>
                <w:b/>
                <w:bCs/>
                <w:color w:val="333333"/>
                <w:kern w:val="0"/>
                <w:sz w:val="19"/>
                <w:szCs w:val="19"/>
                <w:lang w:val="en-US" w:eastAsia="zh-CN" w:bidi="ar"/>
              </w:rPr>
              <w:t>事项名称</w:t>
            </w:r>
          </w:p>
        </w:tc>
        <w:tc>
          <w:tcPr>
            <w:tcW w:w="0" w:type="auto"/>
            <w:tcBorders>
              <w:top w:val="nil"/>
              <w:left w:val="single" w:color="EBEBEB" w:sz="4" w:space="0"/>
              <w:bottom w:val="single" w:color="EBEBEB" w:sz="4" w:space="0"/>
              <w:right w:val="single" w:color="EBEBEB" w:sz="4" w:space="0"/>
            </w:tcBorders>
            <w:shd w:val="clear" w:color="auto" w:fill="F6F7F8"/>
            <w:tcMar>
              <w:left w:w="96" w:type="dxa"/>
              <w:right w:w="96" w:type="dxa"/>
            </w:tcMar>
            <w:vAlign w:val="bottom"/>
          </w:tcPr>
          <w:p>
            <w:pPr>
              <w:keepNext w:val="0"/>
              <w:keepLines w:val="0"/>
              <w:widowControl/>
              <w:suppressLineNumbers w:val="0"/>
              <w:spacing w:before="0" w:beforeAutospacing="0" w:after="0" w:afterAutospacing="0" w:line="504" w:lineRule="atLeast"/>
              <w:ind w:left="0" w:right="0"/>
              <w:jc w:val="center"/>
              <w:textAlignment w:val="bottom"/>
              <w:rPr>
                <w:b/>
                <w:bCs/>
                <w:color w:val="333333"/>
                <w:sz w:val="19"/>
                <w:szCs w:val="19"/>
              </w:rPr>
            </w:pPr>
            <w:r>
              <w:rPr>
                <w:rFonts w:ascii="宋体" w:hAnsi="宋体" w:eastAsia="宋体" w:cs="宋体"/>
                <w:b/>
                <w:bCs/>
                <w:color w:val="333333"/>
                <w:kern w:val="0"/>
                <w:sz w:val="19"/>
                <w:szCs w:val="19"/>
                <w:lang w:val="en-US" w:eastAsia="zh-CN" w:bidi="ar"/>
              </w:rPr>
              <w:t>情形名称</w:t>
            </w:r>
          </w:p>
        </w:tc>
        <w:tc>
          <w:tcPr>
            <w:tcW w:w="3951" w:type="dxa"/>
            <w:tcBorders>
              <w:top w:val="nil"/>
              <w:left w:val="single" w:color="EBEBEB" w:sz="4" w:space="0"/>
              <w:bottom w:val="single" w:color="EBEBEB" w:sz="4" w:space="0"/>
              <w:right w:val="single" w:color="EBEBEB" w:sz="4" w:space="0"/>
            </w:tcBorders>
            <w:shd w:val="clear" w:color="auto" w:fill="F6F7F8"/>
            <w:tcMar>
              <w:left w:w="96" w:type="dxa"/>
              <w:right w:w="96" w:type="dxa"/>
            </w:tcMar>
            <w:vAlign w:val="bottom"/>
          </w:tcPr>
          <w:p>
            <w:pPr>
              <w:keepNext w:val="0"/>
              <w:keepLines w:val="0"/>
              <w:widowControl/>
              <w:suppressLineNumbers w:val="0"/>
              <w:spacing w:before="0" w:beforeAutospacing="0" w:after="0" w:afterAutospacing="0" w:line="504" w:lineRule="atLeast"/>
              <w:ind w:left="0" w:right="0"/>
              <w:jc w:val="center"/>
              <w:textAlignment w:val="bottom"/>
              <w:rPr>
                <w:b/>
                <w:bCs/>
                <w:color w:val="333333"/>
                <w:sz w:val="19"/>
                <w:szCs w:val="19"/>
              </w:rPr>
            </w:pPr>
            <w:r>
              <w:rPr>
                <w:rFonts w:ascii="宋体" w:hAnsi="宋体" w:eastAsia="宋体" w:cs="宋体"/>
                <w:b/>
                <w:bCs/>
                <w:color w:val="333333"/>
                <w:kern w:val="0"/>
                <w:sz w:val="19"/>
                <w:szCs w:val="19"/>
                <w:lang w:val="en-US" w:eastAsia="zh-CN" w:bidi="ar"/>
              </w:rPr>
              <w:t>材料名称</w:t>
            </w:r>
          </w:p>
        </w:tc>
        <w:tc>
          <w:tcPr>
            <w:tcW w:w="945" w:type="dxa"/>
            <w:tcBorders>
              <w:top w:val="nil"/>
              <w:left w:val="single" w:color="EBEBEB" w:sz="4" w:space="0"/>
              <w:bottom w:val="single" w:color="EBEBEB" w:sz="4" w:space="0"/>
              <w:right w:val="single" w:color="EBEBEB" w:sz="4" w:space="0"/>
            </w:tcBorders>
            <w:shd w:val="clear" w:color="auto" w:fill="F6F7F8"/>
            <w:tcMar>
              <w:left w:w="96" w:type="dxa"/>
              <w:right w:w="96" w:type="dxa"/>
            </w:tcMar>
            <w:vAlign w:val="bottom"/>
          </w:tcPr>
          <w:p>
            <w:pPr>
              <w:keepNext w:val="0"/>
              <w:keepLines w:val="0"/>
              <w:widowControl/>
              <w:suppressLineNumbers w:val="0"/>
              <w:spacing w:before="0" w:beforeAutospacing="0" w:after="0" w:afterAutospacing="0" w:line="504" w:lineRule="atLeast"/>
              <w:ind w:left="0" w:right="0"/>
              <w:jc w:val="center"/>
              <w:textAlignment w:val="bottom"/>
              <w:rPr>
                <w:b/>
                <w:bCs/>
                <w:color w:val="333333"/>
                <w:sz w:val="19"/>
                <w:szCs w:val="19"/>
              </w:rPr>
            </w:pPr>
            <w:r>
              <w:rPr>
                <w:rFonts w:ascii="宋体" w:hAnsi="宋体" w:eastAsia="宋体" w:cs="宋体"/>
                <w:b/>
                <w:bCs/>
                <w:color w:val="333333"/>
                <w:kern w:val="0"/>
                <w:sz w:val="19"/>
                <w:szCs w:val="19"/>
                <w:lang w:val="en-US" w:eastAsia="zh-CN" w:bidi="ar"/>
              </w:rPr>
              <w:t>材料必要性</w:t>
            </w:r>
          </w:p>
        </w:tc>
        <w:tc>
          <w:tcPr>
            <w:tcW w:w="1320" w:type="dxa"/>
            <w:tcBorders>
              <w:top w:val="nil"/>
              <w:left w:val="single" w:color="EBEBEB" w:sz="4" w:space="0"/>
              <w:bottom w:val="single" w:color="EBEBEB" w:sz="4" w:space="0"/>
              <w:right w:val="single" w:color="EBEBEB" w:sz="4" w:space="0"/>
            </w:tcBorders>
            <w:shd w:val="clear" w:color="auto" w:fill="F6F7F8"/>
            <w:tcMar>
              <w:left w:w="96" w:type="dxa"/>
              <w:right w:w="96" w:type="dxa"/>
            </w:tcMar>
            <w:vAlign w:val="bottom"/>
          </w:tcPr>
          <w:p>
            <w:pPr>
              <w:keepNext w:val="0"/>
              <w:keepLines w:val="0"/>
              <w:widowControl/>
              <w:suppressLineNumbers w:val="0"/>
              <w:spacing w:before="0" w:beforeAutospacing="0" w:after="0" w:afterAutospacing="0" w:line="504" w:lineRule="atLeast"/>
              <w:ind w:left="0" w:right="0"/>
              <w:jc w:val="center"/>
              <w:textAlignment w:val="bottom"/>
              <w:rPr>
                <w:b/>
                <w:bCs/>
                <w:color w:val="333333"/>
                <w:sz w:val="19"/>
                <w:szCs w:val="19"/>
              </w:rPr>
            </w:pPr>
            <w:r>
              <w:rPr>
                <w:rFonts w:ascii="宋体" w:hAnsi="宋体" w:eastAsia="宋体" w:cs="宋体"/>
                <w:b/>
                <w:bCs/>
                <w:color w:val="333333"/>
                <w:kern w:val="0"/>
                <w:sz w:val="19"/>
                <w:szCs w:val="19"/>
                <w:lang w:val="en-US" w:eastAsia="zh-CN" w:bidi="ar"/>
              </w:rPr>
              <w:t>材料类型</w:t>
            </w:r>
          </w:p>
        </w:tc>
        <w:tc>
          <w:tcPr>
            <w:tcW w:w="525" w:type="dxa"/>
            <w:tcBorders>
              <w:top w:val="nil"/>
              <w:left w:val="single" w:color="EBEBEB" w:sz="4" w:space="0"/>
              <w:bottom w:val="single" w:color="EBEBEB" w:sz="4" w:space="0"/>
              <w:right w:val="single" w:color="EBEBEB" w:sz="4" w:space="0"/>
            </w:tcBorders>
            <w:shd w:val="clear" w:color="auto" w:fill="F6F7F8"/>
            <w:tcMar>
              <w:left w:w="96" w:type="dxa"/>
              <w:right w:w="96" w:type="dxa"/>
            </w:tcMar>
            <w:vAlign w:val="bottom"/>
          </w:tcPr>
          <w:p>
            <w:pPr>
              <w:keepNext w:val="0"/>
              <w:keepLines w:val="0"/>
              <w:widowControl/>
              <w:suppressLineNumbers w:val="0"/>
              <w:spacing w:before="0" w:beforeAutospacing="0" w:after="0" w:afterAutospacing="0" w:line="504" w:lineRule="atLeast"/>
              <w:ind w:left="0" w:right="0"/>
              <w:jc w:val="center"/>
              <w:textAlignment w:val="bottom"/>
              <w:rPr>
                <w:b/>
                <w:bCs/>
                <w:color w:val="333333"/>
                <w:sz w:val="19"/>
                <w:szCs w:val="19"/>
              </w:rPr>
            </w:pPr>
            <w:r>
              <w:rPr>
                <w:rFonts w:ascii="宋体" w:hAnsi="宋体" w:eastAsia="宋体" w:cs="宋体"/>
                <w:b/>
                <w:bCs/>
                <w:color w:val="333333"/>
                <w:kern w:val="0"/>
                <w:sz w:val="19"/>
                <w:szCs w:val="19"/>
                <w:lang w:val="en-US" w:eastAsia="zh-CN" w:bidi="ar"/>
              </w:rPr>
              <w:t>份数</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restart"/>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城镇污水排入排水管网许可</w:t>
            </w:r>
          </w:p>
        </w:tc>
        <w:tc>
          <w:tcPr>
            <w:tcW w:w="0" w:type="auto"/>
            <w:vMerge w:val="restart"/>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409EFF"/>
                <w:sz w:val="16"/>
                <w:szCs w:val="16"/>
              </w:rPr>
            </w:pPr>
            <w:r>
              <w:rPr>
                <w:rFonts w:ascii="宋体" w:hAnsi="宋体" w:eastAsia="宋体" w:cs="宋体"/>
                <w:color w:val="409EFF"/>
                <w:kern w:val="0"/>
                <w:sz w:val="16"/>
                <w:szCs w:val="16"/>
                <w:lang w:val="en-US" w:eastAsia="zh-CN" w:bidi="ar"/>
              </w:rPr>
              <w:t>情形1</w:t>
            </w: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排水水质、水量检测达标承诺书</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排水许可申请表</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已安装的主要水污染物排放自动监测设备有关材料（列入重点排污单位名录的排水户应当提供）</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非必要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授权委托书及被委托人身份证明</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非必要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按照规定建设污水预处理设施的有关材料</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新建排水设施还需提供排水隐蔽工程竣工报告（竣工报告需申请人现场出示），内部排水管网、专用检测井、污水排放口位置和口径的图纸及说明</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restart"/>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中介机构从事代理记账业务审批</w:t>
            </w:r>
          </w:p>
        </w:tc>
        <w:tc>
          <w:tcPr>
            <w:tcW w:w="0" w:type="auto"/>
            <w:vMerge w:val="restart"/>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409EFF"/>
                <w:sz w:val="16"/>
                <w:szCs w:val="16"/>
              </w:rPr>
            </w:pPr>
            <w:r>
              <w:rPr>
                <w:rFonts w:ascii="宋体" w:hAnsi="宋体" w:eastAsia="宋体" w:cs="宋体"/>
                <w:color w:val="409EFF"/>
                <w:kern w:val="0"/>
                <w:sz w:val="16"/>
                <w:szCs w:val="16"/>
                <w:lang w:val="en-US" w:eastAsia="zh-CN" w:bidi="ar"/>
              </w:rPr>
              <w:t>情形1</w:t>
            </w: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代理记账业务内部规范</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中介机构从事代理记账业务审批告知承诺书</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专职从业人员在本机构专职从业的书面承诺书</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授权委托书及身份证复印件</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非必要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统一社会信用代码</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主管代理记账业务的负责人具有会计师以上专业技术职务资格或者从事会计工作不少于三年的书面承诺</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restart"/>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设置大型户外广告及在城市建筑物、设施上悬挂、张贴宣传品审批</w:t>
            </w:r>
          </w:p>
        </w:tc>
        <w:tc>
          <w:tcPr>
            <w:tcW w:w="0" w:type="auto"/>
            <w:vMerge w:val="restart"/>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409EFF"/>
                <w:sz w:val="16"/>
                <w:szCs w:val="16"/>
              </w:rPr>
            </w:pPr>
            <w:r>
              <w:rPr>
                <w:rFonts w:ascii="宋体" w:hAnsi="宋体" w:eastAsia="宋体" w:cs="宋体"/>
                <w:color w:val="409EFF"/>
                <w:kern w:val="0"/>
                <w:sz w:val="16"/>
                <w:szCs w:val="16"/>
                <w:lang w:val="en-US" w:eastAsia="zh-CN" w:bidi="ar"/>
              </w:rPr>
              <w:t>情形1</w:t>
            </w: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授权委托书及身份证复印件</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非必要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户外广告设置场地、设施使用权证明书（租赁协议、房屋产权证明、建筑规划许可证、城中村拆建政府文件）、产权单位同意设置安装的意见</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户外广告设施制作、安装、维护的安全技术规范和措施（户外广告设施合格文件、施工单位安全资质文件、安全维护措施文件、施工合同、项目经理人和安全员证明文件）</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户外广告行政许可申请书</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营业执照</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left"/>
              <w:rPr>
                <w:rFonts w:hint="eastAsia" w:ascii="宋体"/>
                <w:color w:val="666666"/>
                <w:sz w:val="16"/>
                <w:szCs w:val="16"/>
              </w:rPr>
            </w:pPr>
          </w:p>
        </w:tc>
        <w:tc>
          <w:tcPr>
            <w:tcW w:w="0" w:type="auto"/>
            <w:vMerge w:val="continue"/>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jc w:val="center"/>
              <w:rPr>
                <w:rFonts w:hint="eastAsia" w:ascii="宋体"/>
                <w:color w:val="409EFF"/>
                <w:sz w:val="16"/>
                <w:szCs w:val="16"/>
              </w:rPr>
            </w:pP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广告实景效果彩图、广告画面效果彩图及广告具体位置平面图（附页写明申请单位、设置位置、设置形式、设置规格、材质）</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纸质和电子</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1</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个体工商户注册登记</w:t>
            </w:r>
          </w:p>
        </w:tc>
        <w:tc>
          <w:tcPr>
            <w:tcW w:w="0" w:type="auto"/>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409EFF"/>
                <w:sz w:val="16"/>
                <w:szCs w:val="16"/>
              </w:rPr>
            </w:pPr>
            <w:r>
              <w:rPr>
                <w:rFonts w:ascii="宋体" w:hAnsi="宋体" w:eastAsia="宋体" w:cs="宋体"/>
                <w:color w:val="409EFF"/>
                <w:kern w:val="0"/>
                <w:sz w:val="16"/>
                <w:szCs w:val="16"/>
                <w:lang w:val="en-US" w:eastAsia="zh-CN" w:bidi="ar"/>
              </w:rPr>
              <w:t>情形1</w:t>
            </w: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无</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非必要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未知</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0</w:t>
            </w:r>
          </w:p>
        </w:tc>
      </w:tr>
      <w:tr>
        <w:tblPrEx>
          <w:tblBorders>
            <w:top w:val="single" w:color="EBEBEB" w:sz="4" w:space="0"/>
            <w:left w:val="single" w:color="EBEBEB" w:sz="4" w:space="0"/>
            <w:bottom w:val="single" w:color="EBEBEB" w:sz="4" w:space="0"/>
            <w:right w:val="single" w:color="EBEBEB" w:sz="4" w:space="0"/>
            <w:insideH w:val="none" w:color="auto" w:sz="0" w:space="0"/>
            <w:insideV w:val="none" w:color="auto" w:sz="0" w:space="0"/>
          </w:tblBorders>
          <w:tblCellMar>
            <w:top w:w="0" w:type="dxa"/>
            <w:left w:w="0" w:type="dxa"/>
            <w:bottom w:w="0" w:type="dxa"/>
            <w:right w:w="0" w:type="dxa"/>
          </w:tblCellMar>
        </w:tblPrEx>
        <w:trPr>
          <w:trHeight w:val="505" w:hRule="atLeast"/>
        </w:trPr>
        <w:tc>
          <w:tcPr>
            <w:tcW w:w="0" w:type="auto"/>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公司登记</w:t>
            </w:r>
          </w:p>
        </w:tc>
        <w:tc>
          <w:tcPr>
            <w:tcW w:w="0" w:type="auto"/>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409EFF"/>
                <w:sz w:val="16"/>
                <w:szCs w:val="16"/>
              </w:rPr>
            </w:pPr>
            <w:r>
              <w:rPr>
                <w:rFonts w:ascii="宋体" w:hAnsi="宋体" w:eastAsia="宋体" w:cs="宋体"/>
                <w:color w:val="409EFF"/>
                <w:kern w:val="0"/>
                <w:sz w:val="16"/>
                <w:szCs w:val="16"/>
                <w:lang w:val="en-US" w:eastAsia="zh-CN" w:bidi="ar"/>
              </w:rPr>
              <w:t>情形1</w:t>
            </w:r>
          </w:p>
        </w:tc>
        <w:tc>
          <w:tcPr>
            <w:tcW w:w="3951"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left"/>
              <w:textAlignment w:val="center"/>
              <w:rPr>
                <w:color w:val="666666"/>
                <w:sz w:val="16"/>
                <w:szCs w:val="16"/>
              </w:rPr>
            </w:pPr>
            <w:r>
              <w:rPr>
                <w:rFonts w:ascii="宋体" w:hAnsi="宋体" w:eastAsia="宋体" w:cs="宋体"/>
                <w:color w:val="666666"/>
                <w:kern w:val="0"/>
                <w:sz w:val="16"/>
                <w:szCs w:val="16"/>
                <w:lang w:val="en-US" w:eastAsia="zh-CN" w:bidi="ar"/>
              </w:rPr>
              <w:t>无</w:t>
            </w:r>
          </w:p>
        </w:tc>
        <w:tc>
          <w:tcPr>
            <w:tcW w:w="94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非必要</w:t>
            </w:r>
          </w:p>
        </w:tc>
        <w:tc>
          <w:tcPr>
            <w:tcW w:w="1320"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未知</w:t>
            </w:r>
          </w:p>
        </w:tc>
        <w:tc>
          <w:tcPr>
            <w:tcW w:w="525" w:type="dxa"/>
            <w:tcBorders>
              <w:top w:val="single" w:color="EBEBEB" w:sz="4" w:space="0"/>
              <w:left w:val="single" w:color="EBEBEB" w:sz="4" w:space="0"/>
              <w:bottom w:val="single" w:color="EBEBEB" w:sz="4" w:space="0"/>
              <w:right w:val="single" w:color="EBEBEB" w:sz="4" w:space="0"/>
            </w:tcBorders>
            <w:shd w:val="clear" w:color="auto" w:fill="FFFFFF"/>
            <w:tcMar>
              <w:left w:w="96" w:type="dxa"/>
              <w:right w:w="96" w:type="dxa"/>
            </w:tcMar>
            <w:vAlign w:val="center"/>
          </w:tcPr>
          <w:p>
            <w:pPr>
              <w:keepNext w:val="0"/>
              <w:keepLines w:val="0"/>
              <w:widowControl/>
              <w:suppressLineNumbers w:val="0"/>
              <w:spacing w:before="0" w:beforeAutospacing="0" w:after="0" w:afterAutospacing="0" w:line="264" w:lineRule="atLeast"/>
              <w:ind w:left="0" w:right="0"/>
              <w:jc w:val="center"/>
              <w:textAlignment w:val="center"/>
              <w:rPr>
                <w:color w:val="666666"/>
                <w:sz w:val="16"/>
                <w:szCs w:val="16"/>
              </w:rPr>
            </w:pPr>
            <w:r>
              <w:rPr>
                <w:rFonts w:ascii="宋体" w:hAnsi="宋体" w:eastAsia="宋体" w:cs="宋体"/>
                <w:color w:val="666666"/>
                <w:kern w:val="0"/>
                <w:sz w:val="16"/>
                <w:szCs w:val="16"/>
                <w:lang w:val="en-US" w:eastAsia="zh-CN" w:bidi="ar"/>
              </w:rPr>
              <w:t>0</w:t>
            </w:r>
          </w:p>
        </w:tc>
      </w:tr>
    </w:tbl>
    <w:p>
      <w:pPr>
        <w:keepNext w:val="0"/>
        <w:keepLines w:val="0"/>
        <w:pageBreakBefore w:val="0"/>
        <w:widowControl/>
        <w:numPr>
          <w:ilvl w:val="0"/>
          <w:numId w:val="0"/>
        </w:numPr>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p>
    <w:p>
      <w:pPr>
        <w:keepNext w:val="0"/>
        <w:keepLines w:val="0"/>
        <w:pageBreakBefore w:val="0"/>
        <w:widowControl/>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七、办理方式</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窗口受理:请到营子区政务服务中心大厅综合受理窗口提交申请材料</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（二）网上申报：http://www.hbzwfw.gov.cn/hbzw/sxcx/itemList/xz_index.do?webId=147&amp;deptid=</w:t>
      </w:r>
    </w:p>
    <w:p>
      <w:pPr>
        <w:keepNext w:val="0"/>
        <w:keepLines w:val="0"/>
        <w:pageBreakBefore w:val="0"/>
        <w:widowControl/>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八、办理流程</w:t>
      </w:r>
    </w:p>
    <w:p>
      <w:pPr>
        <w:keepNext w:val="0"/>
        <w:keepLines w:val="0"/>
        <w:pageBreakBefore w:val="0"/>
        <w:widowControl/>
        <w:kinsoku/>
        <w:wordWrap/>
        <w:overflowPunct/>
        <w:topLinePunct w:val="0"/>
        <w:autoSpaceDE/>
        <w:autoSpaceDN/>
        <w:bidi w:val="0"/>
        <w:adjustRightInd/>
        <w:snapToGrid/>
        <w:spacing w:line="240" w:lineRule="auto"/>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drawing>
          <wp:inline distT="0" distB="0" distL="114300" distR="114300">
            <wp:extent cx="5253990" cy="3368040"/>
            <wp:effectExtent l="0" t="0" r="3810" b="0"/>
            <wp:docPr id="1" name="图片 1" descr="代理记账中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代理记账中心"/>
                    <pic:cNvPicPr>
                      <a:picLocks noChangeAspect="1"/>
                    </pic:cNvPicPr>
                  </pic:nvPicPr>
                  <pic:blipFill>
                    <a:blip r:embed="rId4"/>
                    <a:stretch>
                      <a:fillRect/>
                    </a:stretch>
                  </pic:blipFill>
                  <pic:spPr>
                    <a:xfrm>
                      <a:off x="0" y="0"/>
                      <a:ext cx="5253990" cy="336804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九、收费依据及标准：无</w:t>
      </w:r>
    </w:p>
    <w:p>
      <w:pPr>
        <w:keepNext w:val="0"/>
        <w:keepLines w:val="0"/>
        <w:pageBreakBefore w:val="0"/>
        <w:widowControl/>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十、结果送达 ：现场领取或邮寄</w:t>
      </w:r>
    </w:p>
    <w:p>
      <w:pPr>
        <w:keepNext w:val="0"/>
        <w:keepLines w:val="0"/>
        <w:pageBreakBefore w:val="0"/>
        <w:widowControl/>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十一、咨询方式</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现场咨询：综合窗口</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default"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电话咨询：0314-5315686</w:t>
      </w:r>
      <w:bookmarkStart w:id="0" w:name="_GoBack"/>
      <w:bookmarkEnd w:id="0"/>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网上咨询：http://www.hbzwfw.gov.cn/hbzw/sxcx/itemList/xz_index.do?webId=147&amp;deptid=</w:t>
      </w:r>
    </w:p>
    <w:p>
      <w:pPr>
        <w:keepNext w:val="0"/>
        <w:keepLines w:val="0"/>
        <w:pageBreakBefore w:val="0"/>
        <w:widowControl/>
        <w:kinsoku/>
        <w:wordWrap/>
        <w:overflowPunct/>
        <w:topLinePunct w:val="0"/>
        <w:autoSpaceDE/>
        <w:autoSpaceDN/>
        <w:bidi w:val="0"/>
        <w:adjustRightInd/>
        <w:snapToGrid/>
        <w:spacing w:line="580" w:lineRule="exact"/>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十二、监督投诉渠道</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eastAsia"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（一）现场监督投诉：受理中心</w:t>
      </w:r>
    </w:p>
    <w:p>
      <w:pPr>
        <w:keepNext w:val="0"/>
        <w:keepLines w:val="0"/>
        <w:pageBreakBefore w:val="0"/>
        <w:widowControl/>
        <w:kinsoku/>
        <w:wordWrap/>
        <w:overflowPunct/>
        <w:topLinePunct w:val="0"/>
        <w:autoSpaceDE/>
        <w:autoSpaceDN/>
        <w:bidi w:val="0"/>
        <w:adjustRightInd/>
        <w:snapToGrid/>
        <w:spacing w:line="580" w:lineRule="exact"/>
        <w:ind w:firstLine="560" w:firstLineChars="200"/>
        <w:contextualSpacing/>
        <w:jc w:val="left"/>
        <w:textAlignment w:val="auto"/>
        <w:rPr>
          <w:rFonts w:hint="default" w:ascii="仿宋_GB2312" w:hAnsi="宋体" w:eastAsia="仿宋_GB2312" w:cs="仿宋"/>
          <w:kern w:val="0"/>
          <w:sz w:val="28"/>
          <w:szCs w:val="28"/>
          <w:lang w:val="en-US" w:eastAsia="zh-CN" w:bidi="ar"/>
        </w:rPr>
      </w:pPr>
      <w:r>
        <w:rPr>
          <w:rFonts w:hint="eastAsia" w:ascii="仿宋_GB2312" w:hAnsi="宋体" w:eastAsia="仿宋_GB2312" w:cs="仿宋"/>
          <w:kern w:val="0"/>
          <w:sz w:val="28"/>
          <w:szCs w:val="28"/>
          <w:lang w:val="en-US" w:eastAsia="zh-CN" w:bidi="ar"/>
        </w:rPr>
        <w:t>（二）电话监督投诉：0314-5018676</w:t>
      </w:r>
    </w:p>
    <w:p>
      <w:r>
        <w:rPr>
          <w:rFonts w:hint="eastAsia" w:ascii="仿宋_GB2312" w:hAnsi="宋体" w:eastAsia="仿宋_GB2312" w:cs="仿宋"/>
          <w:kern w:val="0"/>
          <w:sz w:val="28"/>
          <w:szCs w:val="28"/>
          <w:lang w:val="en-US" w:eastAsia="zh-CN" w:bidi="ar"/>
        </w:rPr>
        <w:t>（三）网上监督投诉：进入河北省政务服务网（zwfw.hebei.gov.cn），在“个人中心-我的办件”页面，如您对办件结果不满意，可直接针对办件进行投诉。</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374582"/>
    <w:multiLevelType w:val="singleLevel"/>
    <w:tmpl w:val="A9374582"/>
    <w:lvl w:ilvl="0" w:tentative="0">
      <w:start w:val="1"/>
      <w:numFmt w:val="chineseCounting"/>
      <w:suff w:val="nothing"/>
      <w:lvlText w:val="%1、"/>
      <w:lvlJc w:val="left"/>
      <w:rPr>
        <w:rFonts w:hint="eastAsia"/>
      </w:rPr>
    </w:lvl>
  </w:abstractNum>
  <w:abstractNum w:abstractNumId="1">
    <w:nsid w:val="249FAE49"/>
    <w:multiLevelType w:val="singleLevel"/>
    <w:tmpl w:val="249FAE4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lMjU3NTBhOGNiNGU0MzlkYzYyZGEyNzE2ZjU1OTYifQ=="/>
  </w:docVars>
  <w:rsids>
    <w:rsidRoot w:val="00000000"/>
    <w:rsid w:val="0C595424"/>
    <w:rsid w:val="24041730"/>
    <w:rsid w:val="39EE5191"/>
    <w:rsid w:val="6D400732"/>
    <w:rsid w:val="76803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1512</Words>
  <Characters>1728</Characters>
  <Lines>0</Lines>
  <Paragraphs>0</Paragraphs>
  <TotalTime>0</TotalTime>
  <ScaleCrop>false</ScaleCrop>
  <LinksUpToDate>false</LinksUpToDate>
  <CharactersWithSpaces>1738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2022-08-09T08:39:00Z</dcterms:created>
  <dc:creator>Administrator</dc:creator>
  <cp:lastModifiedBy>Administrator</cp:lastModifiedBy>
  <dcterms:modified xsi:type="dcterms:W3CDTF">2023-11-29T07:18:54Z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F79EC645438440BA8CFA3A5BC2C62FBB</vt:lpwstr>
  </property>
</Properties>
</file>